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358" w:rsidRDefault="00916358"/>
    <w:p w:rsidR="00640495" w:rsidRDefault="00640495"/>
    <w:p w:rsidR="00640495" w:rsidRDefault="00640495"/>
    <w:p w:rsidR="00CE7ADC" w:rsidRPr="004973BE" w:rsidRDefault="00CE7ADC" w:rsidP="00CE7ADC">
      <w:pPr>
        <w:jc w:val="both"/>
        <w:rPr>
          <w:rFonts w:ascii="Times New Roman" w:hAnsi="Times New Roman"/>
          <w:b/>
          <w:bCs/>
        </w:rPr>
      </w:pPr>
      <w:r w:rsidRPr="004973BE">
        <w:rPr>
          <w:rFonts w:ascii="Times New Roman" w:hAnsi="Times New Roman"/>
          <w:b/>
          <w:bCs/>
          <w:sz w:val="28"/>
          <w:szCs w:val="28"/>
          <w:u w:val="single"/>
        </w:rPr>
        <w:t>SİRKÜLER</w:t>
      </w:r>
      <w:r w:rsidRPr="004973BE">
        <w:rPr>
          <w:rFonts w:ascii="Times New Roman" w:hAnsi="Times New Roman"/>
          <w:b/>
          <w:bCs/>
          <w:sz w:val="28"/>
          <w:szCs w:val="28"/>
        </w:rPr>
        <w:tab/>
      </w:r>
    </w:p>
    <w:p w:rsidR="00CE7ADC" w:rsidRPr="00CE7ADC" w:rsidRDefault="00CE7ADC" w:rsidP="00CE7ADC">
      <w:pPr>
        <w:jc w:val="both"/>
        <w:rPr>
          <w:rFonts w:ascii="Times New Roman" w:hAnsi="Times New Roman"/>
          <w:b/>
          <w:bCs/>
          <w:sz w:val="24"/>
          <w:szCs w:val="24"/>
        </w:rPr>
      </w:pPr>
      <w:r w:rsidRPr="00CE7ADC">
        <w:rPr>
          <w:rFonts w:ascii="Times New Roman" w:hAnsi="Times New Roman"/>
          <w:b/>
          <w:bCs/>
          <w:sz w:val="24"/>
          <w:szCs w:val="24"/>
        </w:rPr>
        <w:tab/>
      </w:r>
    </w:p>
    <w:tbl>
      <w:tblPr>
        <w:tblW w:w="0" w:type="auto"/>
        <w:tblLook w:val="04A0" w:firstRow="1" w:lastRow="0" w:firstColumn="1" w:lastColumn="0" w:noHBand="0" w:noVBand="1"/>
      </w:tblPr>
      <w:tblGrid>
        <w:gridCol w:w="1232"/>
        <w:gridCol w:w="296"/>
        <w:gridCol w:w="8109"/>
      </w:tblGrid>
      <w:tr w:rsidR="00AB7D38" w:rsidRPr="00D76EAD" w:rsidTr="00640495">
        <w:tc>
          <w:tcPr>
            <w:tcW w:w="1232" w:type="dxa"/>
            <w:shd w:val="clear" w:color="auto" w:fill="auto"/>
          </w:tcPr>
          <w:p w:rsidR="00AB7D38" w:rsidRPr="00D76EAD" w:rsidRDefault="00AB7D38" w:rsidP="00D76EAD">
            <w:pPr>
              <w:pStyle w:val="Balk4"/>
              <w:ind w:firstLine="0"/>
              <w:rPr>
                <w:rFonts w:ascii="Arial Unicode MS" w:eastAsia="Arial Unicode MS" w:hAnsi="Arial Unicode MS" w:cs="Arial Unicode MS"/>
                <w:szCs w:val="22"/>
              </w:rPr>
            </w:pPr>
            <w:r w:rsidRPr="00D76EAD">
              <w:rPr>
                <w:rFonts w:ascii="Arial Unicode MS" w:eastAsia="Arial Unicode MS" w:hAnsi="Arial Unicode MS" w:cs="Arial Unicode MS"/>
                <w:szCs w:val="22"/>
              </w:rPr>
              <w:t>TARİH</w:t>
            </w:r>
          </w:p>
        </w:tc>
        <w:tc>
          <w:tcPr>
            <w:tcW w:w="296" w:type="dxa"/>
            <w:shd w:val="clear" w:color="auto" w:fill="auto"/>
          </w:tcPr>
          <w:p w:rsidR="00AB7D38" w:rsidRPr="00D76EAD" w:rsidRDefault="00AB7D38" w:rsidP="00D76EAD">
            <w:pPr>
              <w:pStyle w:val="Balk4"/>
              <w:ind w:firstLine="0"/>
              <w:rPr>
                <w:rFonts w:ascii="Arial Unicode MS" w:eastAsia="Arial Unicode MS" w:hAnsi="Arial Unicode MS" w:cs="Arial Unicode MS"/>
                <w:szCs w:val="22"/>
              </w:rPr>
            </w:pPr>
            <w:r w:rsidRPr="00D76EAD">
              <w:rPr>
                <w:rFonts w:ascii="Arial Unicode MS" w:eastAsia="Arial Unicode MS" w:hAnsi="Arial Unicode MS" w:cs="Arial Unicode MS"/>
                <w:szCs w:val="22"/>
              </w:rPr>
              <w:t>:</w:t>
            </w:r>
          </w:p>
        </w:tc>
        <w:tc>
          <w:tcPr>
            <w:tcW w:w="8109" w:type="dxa"/>
            <w:shd w:val="clear" w:color="auto" w:fill="auto"/>
          </w:tcPr>
          <w:p w:rsidR="00AB7D38" w:rsidRPr="00D76EAD" w:rsidRDefault="00AB7D38" w:rsidP="00D76EAD">
            <w:pPr>
              <w:pStyle w:val="Balk4"/>
              <w:ind w:firstLine="0"/>
              <w:rPr>
                <w:rFonts w:ascii="Arial Unicode MS" w:eastAsia="Arial Unicode MS" w:hAnsi="Arial Unicode MS" w:cs="Arial Unicode MS"/>
                <w:szCs w:val="22"/>
              </w:rPr>
            </w:pPr>
            <w:r w:rsidRPr="00D76EAD">
              <w:rPr>
                <w:rFonts w:ascii="Arial Unicode MS" w:eastAsia="Arial Unicode MS" w:hAnsi="Arial Unicode MS" w:cs="Arial Unicode MS"/>
                <w:szCs w:val="22"/>
              </w:rPr>
              <w:t xml:space="preserve"> </w:t>
            </w:r>
          </w:p>
        </w:tc>
      </w:tr>
      <w:tr w:rsidR="00AB7D38" w:rsidRPr="00D76EAD" w:rsidTr="00640495">
        <w:tc>
          <w:tcPr>
            <w:tcW w:w="1232" w:type="dxa"/>
            <w:shd w:val="clear" w:color="auto" w:fill="auto"/>
          </w:tcPr>
          <w:p w:rsidR="00AB7D38" w:rsidRPr="00D76EAD" w:rsidRDefault="00AB7D38" w:rsidP="00D76EAD">
            <w:pPr>
              <w:rPr>
                <w:rFonts w:ascii="Arial Unicode MS" w:eastAsia="Arial Unicode MS" w:hAnsi="Arial Unicode MS" w:cs="Arial Unicode MS"/>
                <w:b/>
              </w:rPr>
            </w:pPr>
            <w:r w:rsidRPr="00D76EAD">
              <w:rPr>
                <w:rFonts w:ascii="Arial Unicode MS" w:eastAsia="Arial Unicode MS" w:hAnsi="Arial Unicode MS" w:cs="Arial Unicode MS"/>
                <w:b/>
              </w:rPr>
              <w:t xml:space="preserve">SAYI </w:t>
            </w:r>
            <w:r w:rsidRPr="00D76EAD">
              <w:rPr>
                <w:rFonts w:ascii="Arial Unicode MS" w:eastAsia="Arial Unicode MS" w:hAnsi="Arial Unicode MS" w:cs="Arial Unicode MS"/>
                <w:b/>
              </w:rPr>
              <w:tab/>
            </w:r>
          </w:p>
        </w:tc>
        <w:tc>
          <w:tcPr>
            <w:tcW w:w="296" w:type="dxa"/>
            <w:shd w:val="clear" w:color="auto" w:fill="auto"/>
          </w:tcPr>
          <w:p w:rsidR="00AB7D38" w:rsidRPr="00D76EAD" w:rsidRDefault="00AB7D38" w:rsidP="00D76EAD">
            <w:pPr>
              <w:rPr>
                <w:rFonts w:ascii="Arial Unicode MS" w:eastAsia="Arial Unicode MS" w:hAnsi="Arial Unicode MS" w:cs="Arial Unicode MS"/>
                <w:b/>
              </w:rPr>
            </w:pPr>
            <w:r w:rsidRPr="00D76EAD">
              <w:rPr>
                <w:rFonts w:ascii="Arial Unicode MS" w:eastAsia="Arial Unicode MS" w:hAnsi="Arial Unicode MS" w:cs="Arial Unicode MS"/>
                <w:b/>
              </w:rPr>
              <w:t>:</w:t>
            </w:r>
          </w:p>
        </w:tc>
        <w:tc>
          <w:tcPr>
            <w:tcW w:w="8109" w:type="dxa"/>
            <w:shd w:val="clear" w:color="auto" w:fill="auto"/>
          </w:tcPr>
          <w:p w:rsidR="00AB7D38" w:rsidRPr="00D76EAD" w:rsidRDefault="00AB7D38" w:rsidP="00232EF6">
            <w:pPr>
              <w:rPr>
                <w:rFonts w:ascii="Arial Unicode MS" w:eastAsia="Arial Unicode MS" w:hAnsi="Arial Unicode MS" w:cs="Arial Unicode MS"/>
                <w:b/>
              </w:rPr>
            </w:pPr>
            <w:r w:rsidRPr="00D76EAD">
              <w:rPr>
                <w:rFonts w:ascii="Arial Unicode MS" w:eastAsia="Arial Unicode MS" w:hAnsi="Arial Unicode MS" w:cs="Arial Unicode MS"/>
                <w:b/>
              </w:rPr>
              <w:t xml:space="preserve"> 201</w:t>
            </w:r>
            <w:r w:rsidR="00232EF6">
              <w:rPr>
                <w:rFonts w:ascii="Arial Unicode MS" w:eastAsia="Arial Unicode MS" w:hAnsi="Arial Unicode MS" w:cs="Arial Unicode MS"/>
                <w:b/>
              </w:rPr>
              <w:t>8</w:t>
            </w:r>
            <w:r w:rsidRPr="00D76EAD">
              <w:rPr>
                <w:rFonts w:ascii="Arial Unicode MS" w:eastAsia="Arial Unicode MS" w:hAnsi="Arial Unicode MS" w:cs="Arial Unicode MS"/>
                <w:b/>
              </w:rPr>
              <w:t xml:space="preserve">/ </w:t>
            </w:r>
          </w:p>
        </w:tc>
      </w:tr>
      <w:tr w:rsidR="00AB7D38" w:rsidRPr="00C264AC" w:rsidTr="00640495">
        <w:tc>
          <w:tcPr>
            <w:tcW w:w="1232" w:type="dxa"/>
            <w:shd w:val="clear" w:color="auto" w:fill="auto"/>
          </w:tcPr>
          <w:p w:rsidR="007A7822" w:rsidRDefault="007A7822" w:rsidP="00D76EAD">
            <w:pPr>
              <w:pStyle w:val="GvdeMetniGirintisi"/>
              <w:ind w:left="0"/>
              <w:rPr>
                <w:rFonts w:ascii="Arial" w:eastAsia="Arial Unicode MS" w:hAnsi="Arial" w:cs="Arial"/>
                <w:b/>
                <w:bCs/>
                <w:sz w:val="24"/>
                <w:szCs w:val="24"/>
              </w:rPr>
            </w:pPr>
          </w:p>
          <w:p w:rsidR="00AB7D38" w:rsidRPr="00C264AC" w:rsidRDefault="00AB7D38" w:rsidP="00D76EAD">
            <w:pPr>
              <w:pStyle w:val="GvdeMetniGirintisi"/>
              <w:ind w:left="0"/>
              <w:rPr>
                <w:rFonts w:ascii="Arial" w:eastAsia="Arial Unicode MS" w:hAnsi="Arial" w:cs="Arial"/>
                <w:b/>
                <w:bCs/>
                <w:sz w:val="24"/>
                <w:szCs w:val="24"/>
              </w:rPr>
            </w:pPr>
            <w:r w:rsidRPr="00C264AC">
              <w:rPr>
                <w:rFonts w:ascii="Arial" w:eastAsia="Arial Unicode MS" w:hAnsi="Arial" w:cs="Arial"/>
                <w:b/>
                <w:bCs/>
                <w:sz w:val="24"/>
                <w:szCs w:val="24"/>
              </w:rPr>
              <w:t>KONU</w:t>
            </w:r>
            <w:r w:rsidRPr="00C264AC">
              <w:rPr>
                <w:rFonts w:ascii="Arial" w:eastAsia="Arial Unicode MS" w:hAnsi="Arial" w:cs="Arial"/>
                <w:b/>
                <w:bCs/>
                <w:sz w:val="24"/>
                <w:szCs w:val="24"/>
              </w:rPr>
              <w:tab/>
            </w:r>
          </w:p>
        </w:tc>
        <w:tc>
          <w:tcPr>
            <w:tcW w:w="296" w:type="dxa"/>
            <w:shd w:val="clear" w:color="auto" w:fill="auto"/>
          </w:tcPr>
          <w:p w:rsidR="007A7822" w:rsidRDefault="007A7822" w:rsidP="00D76EAD">
            <w:pPr>
              <w:pStyle w:val="GvdeMetniGirintisi"/>
              <w:ind w:left="0"/>
              <w:rPr>
                <w:rFonts w:ascii="Arial" w:eastAsia="Arial Unicode MS" w:hAnsi="Arial" w:cs="Arial"/>
                <w:b/>
                <w:bCs/>
                <w:color w:val="002060"/>
                <w:sz w:val="24"/>
                <w:szCs w:val="24"/>
              </w:rPr>
            </w:pPr>
          </w:p>
          <w:p w:rsidR="00AB7D38" w:rsidRPr="00C264AC" w:rsidRDefault="00AB7D38" w:rsidP="00D76EAD">
            <w:pPr>
              <w:pStyle w:val="GvdeMetniGirintisi"/>
              <w:ind w:left="0"/>
              <w:rPr>
                <w:rFonts w:ascii="Arial" w:eastAsia="Arial Unicode MS" w:hAnsi="Arial" w:cs="Arial"/>
                <w:b/>
                <w:bCs/>
                <w:color w:val="002060"/>
                <w:sz w:val="24"/>
                <w:szCs w:val="24"/>
              </w:rPr>
            </w:pPr>
            <w:r w:rsidRPr="00C264AC">
              <w:rPr>
                <w:rFonts w:ascii="Arial" w:eastAsia="Arial Unicode MS" w:hAnsi="Arial" w:cs="Arial"/>
                <w:b/>
                <w:bCs/>
                <w:color w:val="002060"/>
                <w:sz w:val="24"/>
                <w:szCs w:val="24"/>
              </w:rPr>
              <w:t>:</w:t>
            </w:r>
          </w:p>
        </w:tc>
        <w:tc>
          <w:tcPr>
            <w:tcW w:w="8109" w:type="dxa"/>
            <w:shd w:val="clear" w:color="auto" w:fill="auto"/>
          </w:tcPr>
          <w:p w:rsidR="007A7822" w:rsidRDefault="007A7822" w:rsidP="00CD57D3">
            <w:pPr>
              <w:shd w:val="clear" w:color="auto" w:fill="FFFFFF"/>
              <w:spacing w:line="360" w:lineRule="auto"/>
              <w:jc w:val="both"/>
              <w:outlineLvl w:val="0"/>
              <w:rPr>
                <w:rFonts w:ascii="Arial" w:eastAsia="Arial Unicode MS" w:hAnsi="Arial" w:cs="Arial"/>
                <w:b/>
                <w:bCs/>
                <w:color w:val="002060"/>
                <w:sz w:val="24"/>
                <w:szCs w:val="24"/>
              </w:rPr>
            </w:pPr>
          </w:p>
          <w:p w:rsidR="00E4413B" w:rsidRPr="00C264AC" w:rsidRDefault="00E12560" w:rsidP="0074352A">
            <w:pPr>
              <w:shd w:val="clear" w:color="auto" w:fill="FFFFFF"/>
              <w:spacing w:line="360" w:lineRule="auto"/>
              <w:jc w:val="both"/>
              <w:outlineLvl w:val="0"/>
              <w:rPr>
                <w:rFonts w:ascii="Arial" w:eastAsia="Arial Unicode MS" w:hAnsi="Arial" w:cs="Arial"/>
                <w:b/>
                <w:bCs/>
                <w:color w:val="002060"/>
                <w:sz w:val="24"/>
                <w:szCs w:val="24"/>
              </w:rPr>
            </w:pPr>
            <w:r>
              <w:rPr>
                <w:rFonts w:ascii="Arial" w:eastAsia="Arial Unicode MS" w:hAnsi="Arial" w:cs="Arial"/>
                <w:b/>
                <w:bCs/>
                <w:color w:val="002060"/>
                <w:sz w:val="24"/>
                <w:szCs w:val="24"/>
              </w:rPr>
              <w:t>Sözleşmelerin T</w:t>
            </w:r>
            <w:r>
              <w:rPr>
                <w:rFonts w:ascii="Arial" w:eastAsia="Arial Unicode MS" w:hAnsi="Arial" w:cs="Arial"/>
                <w:b/>
                <w:bCs/>
                <w:color w:val="002060"/>
                <w:sz w:val="26"/>
                <w:szCs w:val="24"/>
              </w:rPr>
              <w:t xml:space="preserve">ürk Lirası olarak yapılması </w:t>
            </w:r>
            <w:r w:rsidR="00391DE5">
              <w:rPr>
                <w:rFonts w:ascii="Arial" w:eastAsia="Arial Unicode MS" w:hAnsi="Arial" w:cs="Arial"/>
                <w:b/>
                <w:bCs/>
                <w:color w:val="002060"/>
                <w:sz w:val="24"/>
                <w:szCs w:val="24"/>
              </w:rPr>
              <w:t xml:space="preserve"> </w:t>
            </w:r>
            <w:r w:rsidR="00E52187">
              <w:rPr>
                <w:rFonts w:ascii="Arial" w:eastAsia="Arial Unicode MS" w:hAnsi="Arial" w:cs="Arial"/>
                <w:b/>
                <w:bCs/>
                <w:color w:val="002060"/>
                <w:sz w:val="24"/>
                <w:szCs w:val="24"/>
                <w:lang w:val="en-US"/>
              </w:rPr>
              <w:t xml:space="preserve"> </w:t>
            </w:r>
            <w:r w:rsidR="008451DA">
              <w:rPr>
                <w:rFonts w:ascii="Arial" w:eastAsia="Arial Unicode MS" w:hAnsi="Arial" w:cs="Arial"/>
                <w:b/>
                <w:bCs/>
                <w:color w:val="002060"/>
                <w:sz w:val="24"/>
                <w:szCs w:val="24"/>
              </w:rPr>
              <w:t xml:space="preserve"> </w:t>
            </w:r>
          </w:p>
        </w:tc>
      </w:tr>
      <w:tr w:rsidR="00AB7D38" w:rsidRPr="00C264AC" w:rsidTr="00640495">
        <w:tc>
          <w:tcPr>
            <w:tcW w:w="1232" w:type="dxa"/>
            <w:shd w:val="clear" w:color="auto" w:fill="auto"/>
          </w:tcPr>
          <w:p w:rsidR="00A97498" w:rsidRDefault="00A97498" w:rsidP="00D76EAD">
            <w:pPr>
              <w:pStyle w:val="GvdeMetniGirintisi"/>
              <w:ind w:left="0"/>
              <w:rPr>
                <w:rFonts w:ascii="Arial" w:eastAsia="Arial Unicode MS" w:hAnsi="Arial" w:cs="Arial"/>
                <w:b/>
                <w:bCs/>
                <w:sz w:val="24"/>
                <w:szCs w:val="24"/>
              </w:rPr>
            </w:pPr>
          </w:p>
          <w:p w:rsidR="00AB7D38" w:rsidRPr="00C264AC" w:rsidRDefault="00AB7D38" w:rsidP="00D76EAD">
            <w:pPr>
              <w:pStyle w:val="GvdeMetniGirintisi"/>
              <w:ind w:left="0"/>
              <w:rPr>
                <w:rFonts w:ascii="Arial" w:eastAsia="Arial Unicode MS" w:hAnsi="Arial" w:cs="Arial"/>
                <w:b/>
                <w:bCs/>
                <w:sz w:val="24"/>
                <w:szCs w:val="24"/>
              </w:rPr>
            </w:pPr>
            <w:r w:rsidRPr="00C264AC">
              <w:rPr>
                <w:rFonts w:ascii="Arial" w:eastAsia="Arial Unicode MS" w:hAnsi="Arial" w:cs="Arial"/>
                <w:b/>
                <w:bCs/>
                <w:sz w:val="24"/>
                <w:szCs w:val="24"/>
              </w:rPr>
              <w:t>ÖZETİ</w:t>
            </w:r>
          </w:p>
        </w:tc>
        <w:tc>
          <w:tcPr>
            <w:tcW w:w="296" w:type="dxa"/>
            <w:shd w:val="clear" w:color="auto" w:fill="auto"/>
          </w:tcPr>
          <w:p w:rsidR="00AB7D38" w:rsidRPr="00C264AC" w:rsidRDefault="002C1DA2" w:rsidP="00D76EAD">
            <w:pPr>
              <w:pStyle w:val="GvdeMetniGirintisi"/>
              <w:ind w:left="0"/>
              <w:rPr>
                <w:rFonts w:ascii="Arial" w:eastAsia="Arial Unicode MS" w:hAnsi="Arial" w:cs="Arial"/>
                <w:b/>
                <w:bCs/>
                <w:sz w:val="24"/>
                <w:szCs w:val="24"/>
              </w:rPr>
            </w:pPr>
            <w:r w:rsidRPr="00C264AC">
              <w:rPr>
                <w:rFonts w:ascii="Arial" w:eastAsia="Arial Unicode MS" w:hAnsi="Arial" w:cs="Arial"/>
                <w:b/>
                <w:bCs/>
                <w:sz w:val="24"/>
                <w:szCs w:val="24"/>
              </w:rPr>
              <w:t>:</w:t>
            </w:r>
          </w:p>
        </w:tc>
        <w:tc>
          <w:tcPr>
            <w:tcW w:w="8109" w:type="dxa"/>
            <w:shd w:val="clear" w:color="auto" w:fill="auto"/>
          </w:tcPr>
          <w:p w:rsidR="00A97498" w:rsidRDefault="00A97498" w:rsidP="00774402">
            <w:pPr>
              <w:shd w:val="clear" w:color="auto" w:fill="FFFFFF"/>
              <w:spacing w:line="360" w:lineRule="auto"/>
              <w:jc w:val="both"/>
              <w:outlineLvl w:val="0"/>
              <w:rPr>
                <w:rFonts w:ascii="Arial" w:eastAsia="Arial Unicode MS" w:hAnsi="Arial" w:cs="Arial"/>
                <w:bCs/>
                <w:sz w:val="28"/>
                <w:szCs w:val="24"/>
              </w:rPr>
            </w:pPr>
          </w:p>
          <w:p w:rsidR="003D6838" w:rsidRPr="0074352A" w:rsidRDefault="00E12560" w:rsidP="00E12560">
            <w:pPr>
              <w:shd w:val="clear" w:color="auto" w:fill="FFFFFF"/>
              <w:spacing w:line="360" w:lineRule="auto"/>
              <w:jc w:val="both"/>
              <w:outlineLvl w:val="0"/>
              <w:rPr>
                <w:rFonts w:ascii="Arial" w:eastAsia="Arial Unicode MS" w:hAnsi="Arial" w:cs="Arial"/>
                <w:bCs/>
                <w:sz w:val="24"/>
                <w:szCs w:val="24"/>
              </w:rPr>
            </w:pPr>
            <w:r w:rsidRPr="00E12560">
              <w:rPr>
                <w:rFonts w:ascii="Arial" w:eastAsia="Arial Unicode MS" w:hAnsi="Arial" w:cs="Arial"/>
                <w:bCs/>
                <w:sz w:val="24"/>
                <w:szCs w:val="24"/>
              </w:rPr>
              <w:t>Türk Parası Kıymetini Koruma Hakkında 32 Sayılı Karara İlişkin Tebliğ (Tebliğ No: 2008-</w:t>
            </w:r>
            <w:r>
              <w:rPr>
                <w:rFonts w:ascii="Arial" w:eastAsia="Arial Unicode MS" w:hAnsi="Arial" w:cs="Arial"/>
                <w:bCs/>
                <w:sz w:val="24"/>
                <w:szCs w:val="24"/>
              </w:rPr>
              <w:t xml:space="preserve">32/34) de değişiklik yapılarak </w:t>
            </w:r>
            <w:proofErr w:type="gramStart"/>
            <w:r>
              <w:rPr>
                <w:rFonts w:ascii="Arial" w:eastAsia="Arial Unicode MS" w:hAnsi="Arial" w:cs="Arial"/>
                <w:bCs/>
                <w:sz w:val="24"/>
                <w:szCs w:val="24"/>
              </w:rPr>
              <w:t>hangi  sözleşmelerin</w:t>
            </w:r>
            <w:proofErr w:type="gramEnd"/>
            <w:r>
              <w:rPr>
                <w:rFonts w:ascii="Arial" w:eastAsia="Arial Unicode MS" w:hAnsi="Arial" w:cs="Arial"/>
                <w:bCs/>
                <w:sz w:val="24"/>
                <w:szCs w:val="24"/>
              </w:rPr>
              <w:t xml:space="preserve"> TL olarak düzenlenmesi gerektiği  konusunda  düzenleme yapıldı. </w:t>
            </w:r>
            <w:bookmarkStart w:id="0" w:name="_GoBack"/>
            <w:bookmarkEnd w:id="0"/>
          </w:p>
        </w:tc>
      </w:tr>
    </w:tbl>
    <w:p w:rsidR="00D6402B" w:rsidRDefault="00D6402B" w:rsidP="00D6402B">
      <w:pPr>
        <w:jc w:val="both"/>
        <w:rPr>
          <w:sz w:val="24"/>
          <w:szCs w:val="24"/>
        </w:rPr>
      </w:pPr>
    </w:p>
    <w:p w:rsidR="00E12560" w:rsidRDefault="00E12560" w:rsidP="00E12560">
      <w:pPr>
        <w:spacing w:line="360" w:lineRule="auto"/>
        <w:jc w:val="both"/>
        <w:rPr>
          <w:rFonts w:ascii="Arial" w:hAnsi="Arial" w:cs="Arial"/>
          <w:sz w:val="24"/>
          <w:szCs w:val="24"/>
          <w:lang w:eastAsia="tr-TR"/>
        </w:rPr>
      </w:pPr>
    </w:p>
    <w:p w:rsidR="00FA0ABD" w:rsidRPr="00E12560" w:rsidRDefault="00FA0ABD" w:rsidP="00E12560">
      <w:pPr>
        <w:spacing w:line="360" w:lineRule="auto"/>
        <w:jc w:val="both"/>
        <w:rPr>
          <w:rFonts w:ascii="Arial" w:hAnsi="Arial" w:cs="Arial"/>
          <w:sz w:val="24"/>
          <w:szCs w:val="24"/>
          <w:lang w:eastAsia="tr-TR"/>
        </w:rPr>
      </w:pPr>
      <w:r w:rsidRPr="00E12560">
        <w:rPr>
          <w:rFonts w:ascii="Arial" w:hAnsi="Arial" w:cs="Arial"/>
          <w:sz w:val="24"/>
          <w:szCs w:val="24"/>
          <w:lang w:eastAsia="tr-TR"/>
        </w:rPr>
        <w:t>13.09.2018 tarihli ve 30534 sayılı Resmi Gazetede yayımlanan 85 sayılı Türk Parası Kıymetini Koruma Hakkında 32 Sayılı Kararda Değişiklik Yapılmasına Dair Cumhurbaşkanı Kararı ile 32 sayılı Kararda aşa</w:t>
      </w:r>
      <w:r w:rsidR="00E12560">
        <w:rPr>
          <w:rFonts w:ascii="Arial" w:hAnsi="Arial" w:cs="Arial"/>
          <w:sz w:val="24"/>
          <w:szCs w:val="24"/>
          <w:lang w:eastAsia="tr-TR"/>
        </w:rPr>
        <w:t>ğıdaki değişiklikler yapılmıştı</w:t>
      </w:r>
      <w:r w:rsidRPr="00E12560">
        <w:rPr>
          <w:rFonts w:ascii="Arial" w:hAnsi="Arial" w:cs="Arial"/>
          <w:sz w:val="24"/>
          <w:szCs w:val="24"/>
          <w:lang w:eastAsia="tr-TR"/>
        </w:rPr>
        <w:t xml:space="preserve">. </w:t>
      </w:r>
    </w:p>
    <w:p w:rsidR="00FA0ABD" w:rsidRPr="00E12560" w:rsidRDefault="00FA0ABD" w:rsidP="00E12560">
      <w:pPr>
        <w:spacing w:line="360" w:lineRule="auto"/>
        <w:ind w:left="708"/>
        <w:jc w:val="both"/>
        <w:rPr>
          <w:rFonts w:ascii="Arial" w:hAnsi="Arial" w:cs="Arial"/>
          <w:sz w:val="24"/>
          <w:szCs w:val="24"/>
          <w:lang w:eastAsia="tr-TR"/>
        </w:rPr>
      </w:pPr>
      <w:r w:rsidRPr="00E12560">
        <w:rPr>
          <w:rFonts w:ascii="Arial" w:hAnsi="Arial" w:cs="Arial"/>
          <w:sz w:val="24"/>
          <w:szCs w:val="24"/>
          <w:lang w:eastAsia="tr-TR"/>
        </w:rPr>
        <w:t>1)</w:t>
      </w:r>
      <w:r w:rsidRPr="00E12560">
        <w:rPr>
          <w:rFonts w:ascii="Arial" w:hAnsi="Arial" w:cs="Arial"/>
          <w:sz w:val="24"/>
          <w:szCs w:val="24"/>
          <w:lang w:eastAsia="tr-TR"/>
        </w:rPr>
        <w:tab/>
      </w:r>
      <w:proofErr w:type="gramStart"/>
      <w:r w:rsidRPr="00E12560">
        <w:rPr>
          <w:rFonts w:ascii="Arial" w:hAnsi="Arial" w:cs="Arial"/>
          <w:sz w:val="24"/>
          <w:szCs w:val="24"/>
          <w:lang w:eastAsia="tr-TR"/>
        </w:rPr>
        <w:t>Kararın  4’üncü</w:t>
      </w:r>
      <w:proofErr w:type="gramEnd"/>
      <w:r w:rsidRPr="00E12560">
        <w:rPr>
          <w:rFonts w:ascii="Arial" w:hAnsi="Arial" w:cs="Arial"/>
          <w:sz w:val="24"/>
          <w:szCs w:val="24"/>
          <w:lang w:eastAsia="tr-TR"/>
        </w:rPr>
        <w:t xml:space="preserve"> maddesine, "g) Türkiye'de yerleşik kişilerin, Bakanlıkça belirlenen haller dışında, kendi aralarındaki menkul ve gayrimenkul alım satım, taşıt ve finansal kiralama dâhil her türlü menkul ve gayrimenkul kiralama, leasing ile iş, hizmet ve eser sözleşmelerinde sözleşme bedeli ve bu sözleşmelerden kaynaklanan diğer ödeme yükümlülükleri döviz cinsinden veya dövize endeksli olarak kararlaştırılamaz." bendi eklenmiştir. </w:t>
      </w:r>
    </w:p>
    <w:p w:rsidR="00FA0ABD" w:rsidRPr="00E12560" w:rsidRDefault="00FA0ABD" w:rsidP="00E12560">
      <w:pPr>
        <w:spacing w:line="360" w:lineRule="auto"/>
        <w:ind w:left="708"/>
        <w:jc w:val="both"/>
        <w:rPr>
          <w:rFonts w:ascii="Arial" w:hAnsi="Arial" w:cs="Arial"/>
          <w:sz w:val="24"/>
          <w:szCs w:val="24"/>
          <w:lang w:eastAsia="tr-TR"/>
        </w:rPr>
      </w:pPr>
      <w:r w:rsidRPr="00E12560">
        <w:rPr>
          <w:rFonts w:ascii="Arial" w:hAnsi="Arial" w:cs="Arial"/>
          <w:sz w:val="24"/>
          <w:szCs w:val="24"/>
          <w:lang w:eastAsia="tr-TR"/>
        </w:rPr>
        <w:t>2)</w:t>
      </w:r>
      <w:r w:rsidRPr="00E12560">
        <w:rPr>
          <w:rFonts w:ascii="Arial" w:hAnsi="Arial" w:cs="Arial"/>
          <w:sz w:val="24"/>
          <w:szCs w:val="24"/>
          <w:lang w:eastAsia="tr-TR"/>
        </w:rPr>
        <w:tab/>
        <w:t xml:space="preserve">Karara "Geçici Madde 8-Bu Kararın 4’üncü maddesinin (g) bendinin yürürlüğe girdiği tarihten itibaren otuz gün içinde, söz konusu bentte belirtilen ve daha önce akdedilmiş yürürlükteki sözleşmelerdeki döviz cinsinden kararlaştırılmış bulunan bedeller, Bakanlıkça </w:t>
      </w:r>
      <w:proofErr w:type="gramStart"/>
      <w:r w:rsidRPr="00E12560">
        <w:rPr>
          <w:rFonts w:ascii="Arial" w:hAnsi="Arial" w:cs="Arial"/>
          <w:sz w:val="24"/>
          <w:szCs w:val="24"/>
          <w:lang w:eastAsia="tr-TR"/>
        </w:rPr>
        <w:t>belirlenen  haller</w:t>
      </w:r>
      <w:proofErr w:type="gramEnd"/>
      <w:r w:rsidRPr="00E12560">
        <w:rPr>
          <w:rFonts w:ascii="Arial" w:hAnsi="Arial" w:cs="Arial"/>
          <w:sz w:val="24"/>
          <w:szCs w:val="24"/>
          <w:lang w:eastAsia="tr-TR"/>
        </w:rPr>
        <w:t xml:space="preserve"> dışında; Türk parası olarak taraflarca yeniden belirlenir."  maddesi  eklenmiştir. </w:t>
      </w:r>
    </w:p>
    <w:p w:rsidR="00FA0ABD" w:rsidRPr="00E12560" w:rsidRDefault="00FA0ABD" w:rsidP="00E12560">
      <w:pPr>
        <w:pStyle w:val="AralkYok"/>
        <w:spacing w:line="360" w:lineRule="auto"/>
        <w:jc w:val="both"/>
        <w:rPr>
          <w:rFonts w:ascii="Arial" w:hAnsi="Arial" w:cs="Arial"/>
          <w:b/>
          <w:bCs/>
          <w:color w:val="000000"/>
        </w:rPr>
      </w:pPr>
      <w:r w:rsidRPr="00E12560">
        <w:rPr>
          <w:rFonts w:ascii="Arial" w:hAnsi="Arial" w:cs="Arial"/>
          <w:sz w:val="24"/>
          <w:szCs w:val="24"/>
        </w:rPr>
        <w:t>6.10.2018 tarihli ve 30557 sayılı Resmi Gazete’de yayımlanan TÜRK PARASI KIYMETİNİ KORUMA HAKKINDA 32 SAYILI KARARA İLİŞKİN TEBLİĞ (TEBLİĞ NO: 2008-32/34)’DE DEĞİŞİKLİK YAPILMASINA DAİR TEBLİĞ (TEBLİĞ NO: 2018-32/51)</w:t>
      </w:r>
      <w:r w:rsidRPr="00E12560">
        <w:rPr>
          <w:rStyle w:val="SonnotBavurusu"/>
          <w:rFonts w:ascii="Arial" w:hAnsi="Arial" w:cs="Arial"/>
          <w:sz w:val="24"/>
          <w:szCs w:val="24"/>
        </w:rPr>
        <w:endnoteReference w:id="1"/>
      </w:r>
      <w:r w:rsidRPr="00E12560">
        <w:rPr>
          <w:rFonts w:ascii="Arial" w:hAnsi="Arial" w:cs="Arial"/>
          <w:sz w:val="24"/>
          <w:szCs w:val="24"/>
        </w:rPr>
        <w:t xml:space="preserve"> ile Türk Parası Kıymetini Koruma Hakkında 32 sayılı Karar gereğince tespiti Bakanlığa bırakılan konularda düzenleme yapılmış, söz </w:t>
      </w:r>
      <w:proofErr w:type="gramStart"/>
      <w:r w:rsidRPr="00E12560">
        <w:rPr>
          <w:rFonts w:ascii="Arial" w:hAnsi="Arial" w:cs="Arial"/>
          <w:sz w:val="24"/>
          <w:szCs w:val="24"/>
        </w:rPr>
        <w:t>konusu  Tebliğin</w:t>
      </w:r>
      <w:proofErr w:type="gramEnd"/>
      <w:r w:rsidRPr="00E12560">
        <w:rPr>
          <w:rFonts w:ascii="Arial" w:hAnsi="Arial" w:cs="Arial"/>
          <w:sz w:val="24"/>
          <w:szCs w:val="24"/>
        </w:rPr>
        <w:t xml:space="preserve"> mülga 8 inci maddesi başlığı ile birlikte yeniden </w:t>
      </w:r>
      <w:r w:rsidRPr="00E12560">
        <w:rPr>
          <w:rFonts w:ascii="Arial" w:hAnsi="Arial" w:cs="Arial"/>
          <w:sz w:val="24"/>
          <w:szCs w:val="24"/>
        </w:rPr>
        <w:lastRenderedPageBreak/>
        <w:t>düzenlenerek döviz cinsinden ve dövize endeksli sözleşmeler ile ilgi</w:t>
      </w:r>
      <w:r w:rsidR="00E12560">
        <w:rPr>
          <w:rFonts w:ascii="Arial" w:hAnsi="Arial" w:cs="Arial"/>
          <w:sz w:val="24"/>
          <w:szCs w:val="24"/>
        </w:rPr>
        <w:t xml:space="preserve">li düzenlemelerde bulunuldu. </w:t>
      </w:r>
    </w:p>
    <w:p w:rsidR="00FA0ABD" w:rsidRPr="00E12560" w:rsidRDefault="00FA0ABD" w:rsidP="00E12560">
      <w:pPr>
        <w:pStyle w:val="AralkYok"/>
        <w:spacing w:line="360" w:lineRule="auto"/>
        <w:jc w:val="both"/>
        <w:rPr>
          <w:rFonts w:ascii="Arial" w:hAnsi="Arial" w:cs="Arial"/>
          <w:b/>
          <w:bCs/>
          <w:color w:val="000000"/>
        </w:rPr>
      </w:pPr>
    </w:p>
    <w:p w:rsidR="00FA0ABD" w:rsidRPr="00E12560" w:rsidRDefault="00E12560" w:rsidP="00E12560">
      <w:pPr>
        <w:spacing w:line="360" w:lineRule="auto"/>
        <w:rPr>
          <w:rFonts w:ascii="Arial" w:hAnsi="Arial" w:cs="Arial"/>
          <w:sz w:val="24"/>
          <w:szCs w:val="24"/>
          <w:lang w:eastAsia="tr-TR"/>
        </w:rPr>
      </w:pPr>
      <w:r>
        <w:rPr>
          <w:rFonts w:ascii="Arial" w:hAnsi="Arial" w:cs="Arial"/>
          <w:sz w:val="24"/>
          <w:szCs w:val="24"/>
          <w:lang w:eastAsia="tr-TR"/>
        </w:rPr>
        <w:t xml:space="preserve">Tebliğ ile </w:t>
      </w:r>
      <w:proofErr w:type="gramStart"/>
      <w:r>
        <w:rPr>
          <w:rFonts w:ascii="Arial" w:hAnsi="Arial" w:cs="Arial"/>
          <w:sz w:val="24"/>
          <w:szCs w:val="24"/>
          <w:lang w:eastAsia="tr-TR"/>
        </w:rPr>
        <w:t xml:space="preserve">yapılan </w:t>
      </w:r>
      <w:r w:rsidR="00FA0ABD" w:rsidRPr="00E12560">
        <w:rPr>
          <w:rFonts w:ascii="Arial" w:hAnsi="Arial" w:cs="Arial"/>
          <w:sz w:val="24"/>
          <w:szCs w:val="24"/>
          <w:lang w:eastAsia="tr-TR"/>
        </w:rPr>
        <w:t xml:space="preserve"> düzenlemeler</w:t>
      </w:r>
      <w:proofErr w:type="gramEnd"/>
      <w:r w:rsidR="00FA0ABD" w:rsidRPr="00E12560">
        <w:rPr>
          <w:rFonts w:ascii="Arial" w:hAnsi="Arial" w:cs="Arial"/>
          <w:sz w:val="24"/>
          <w:szCs w:val="24"/>
          <w:lang w:eastAsia="tr-TR"/>
        </w:rPr>
        <w:t xml:space="preserve">  aşağıdaki gibidir. </w:t>
      </w:r>
    </w:p>
    <w:p w:rsidR="00FA0ABD" w:rsidRPr="00E12560" w:rsidRDefault="00FA0ABD" w:rsidP="00E12560">
      <w:pPr>
        <w:spacing w:line="360" w:lineRule="auto"/>
        <w:rPr>
          <w:rFonts w:ascii="Arial" w:hAnsi="Arial" w:cs="Arial"/>
          <w:sz w:val="24"/>
          <w:szCs w:val="24"/>
          <w:lang w:eastAsia="tr-TR"/>
        </w:rPr>
      </w:pPr>
    </w:p>
    <w:p w:rsidR="00FA0ABD" w:rsidRDefault="00FA0ABD" w:rsidP="00FA0ABD">
      <w:pPr>
        <w:rPr>
          <w:rFonts w:ascii="Times New Roman" w:hAnsi="Times New Roman"/>
          <w:sz w:val="24"/>
          <w:szCs w:val="24"/>
          <w:lang w:eastAsia="tr-TR"/>
        </w:rPr>
      </w:pPr>
    </w:p>
    <w:p w:rsidR="00FA0ABD" w:rsidRDefault="00FA0ABD" w:rsidP="00FA0ABD">
      <w:pPr>
        <w:rPr>
          <w:rFonts w:ascii="Times New Roman" w:hAnsi="Times New Roman"/>
          <w:sz w:val="24"/>
          <w:szCs w:val="24"/>
          <w:lang w:eastAsia="tr-TR"/>
        </w:rPr>
      </w:pPr>
    </w:p>
    <w:p w:rsidR="00FA0ABD" w:rsidRDefault="00FA0ABD" w:rsidP="00FA0ABD">
      <w:pPr>
        <w:rPr>
          <w:rFonts w:ascii="Times New Roman" w:hAnsi="Times New Roman"/>
          <w:sz w:val="24"/>
          <w:szCs w:val="24"/>
          <w:lang w:eastAsia="tr-TR"/>
        </w:rPr>
      </w:pPr>
    </w:p>
    <w:p w:rsidR="00FA0ABD" w:rsidRDefault="00FA0ABD" w:rsidP="00FA0ABD">
      <w:pPr>
        <w:rPr>
          <w:rFonts w:ascii="Times New Roman" w:hAnsi="Times New Roman"/>
          <w:sz w:val="24"/>
          <w:szCs w:val="24"/>
          <w:lang w:eastAsia="tr-TR"/>
        </w:rPr>
      </w:pPr>
    </w:p>
    <w:p w:rsidR="00FA0ABD" w:rsidRPr="00995B22" w:rsidRDefault="00FA0ABD" w:rsidP="00FA0ABD">
      <w:pPr>
        <w:pStyle w:val="AralkYok"/>
        <w:spacing w:line="360" w:lineRule="auto"/>
        <w:jc w:val="both"/>
        <w:rPr>
          <w:b/>
          <w:sz w:val="24"/>
          <w:szCs w:val="24"/>
        </w:rPr>
      </w:pPr>
    </w:p>
    <w:tbl>
      <w:tblPr>
        <w:tblStyle w:val="TabloKlavuzu"/>
        <w:tblW w:w="9990" w:type="dxa"/>
        <w:tblInd w:w="-455" w:type="dxa"/>
        <w:tblLook w:val="04A0" w:firstRow="1" w:lastRow="0" w:firstColumn="1" w:lastColumn="0" w:noHBand="0" w:noVBand="1"/>
      </w:tblPr>
      <w:tblGrid>
        <w:gridCol w:w="9990"/>
      </w:tblGrid>
      <w:tr w:rsidR="00FA0ABD" w:rsidRPr="00C07F21" w:rsidTr="00FA0ABD">
        <w:tc>
          <w:tcPr>
            <w:tcW w:w="9990" w:type="dxa"/>
          </w:tcPr>
          <w:p w:rsidR="00FA0ABD" w:rsidRPr="00E12560" w:rsidRDefault="00FA0ABD" w:rsidP="00FA0ABD">
            <w:pPr>
              <w:pStyle w:val="Balk1"/>
              <w:numPr>
                <w:ilvl w:val="0"/>
                <w:numId w:val="35"/>
              </w:numPr>
              <w:spacing w:after="240" w:line="240" w:lineRule="auto"/>
              <w:rPr>
                <w:rFonts w:ascii="Arial" w:hAnsi="Arial" w:cs="Arial"/>
                <w:sz w:val="28"/>
                <w:szCs w:val="28"/>
              </w:rPr>
            </w:pPr>
            <w:bookmarkStart w:id="1" w:name="_Toc526856012"/>
            <w:r w:rsidRPr="00E12560">
              <w:rPr>
                <w:rFonts w:ascii="Arial" w:hAnsi="Arial" w:cs="Arial"/>
                <w:sz w:val="28"/>
                <w:szCs w:val="28"/>
              </w:rPr>
              <w:t>Gayrimenkul satış sözleşmeleri</w:t>
            </w:r>
            <w:bookmarkEnd w:id="1"/>
            <w:r w:rsidRPr="00E12560">
              <w:rPr>
                <w:rFonts w:ascii="Arial" w:hAnsi="Arial" w:cs="Arial"/>
                <w:sz w:val="28"/>
                <w:szCs w:val="28"/>
              </w:rPr>
              <w:t xml:space="preserve"> </w:t>
            </w:r>
          </w:p>
        </w:tc>
      </w:tr>
      <w:tr w:rsidR="00FA0ABD" w:rsidRPr="00C07F21" w:rsidTr="00FA0ABD">
        <w:tc>
          <w:tcPr>
            <w:tcW w:w="9990" w:type="dxa"/>
          </w:tcPr>
          <w:p w:rsidR="00FA0ABD" w:rsidRPr="00E12560" w:rsidRDefault="00FA0ABD" w:rsidP="00573695">
            <w:pPr>
              <w:pStyle w:val="AralkYok"/>
              <w:spacing w:line="360" w:lineRule="auto"/>
              <w:jc w:val="both"/>
              <w:rPr>
                <w:rFonts w:ascii="Arial" w:hAnsi="Arial" w:cs="Arial"/>
                <w:sz w:val="24"/>
                <w:szCs w:val="24"/>
              </w:rPr>
            </w:pPr>
          </w:p>
          <w:p w:rsidR="00FA0ABD" w:rsidRPr="00E12560" w:rsidRDefault="00FA0ABD" w:rsidP="00573695">
            <w:pPr>
              <w:pStyle w:val="AralkYok"/>
              <w:spacing w:line="360" w:lineRule="auto"/>
              <w:jc w:val="both"/>
              <w:rPr>
                <w:rFonts w:ascii="Arial" w:hAnsi="Arial" w:cs="Arial"/>
                <w:b/>
                <w:sz w:val="24"/>
                <w:szCs w:val="24"/>
                <w:u w:val="single"/>
              </w:rPr>
            </w:pPr>
            <w:r w:rsidRPr="00E12560">
              <w:rPr>
                <w:rFonts w:ascii="Arial" w:hAnsi="Arial" w:cs="Arial"/>
                <w:sz w:val="24"/>
                <w:szCs w:val="24"/>
              </w:rPr>
              <w:t xml:space="preserve">Türkiye’de yerleşik kişiler; kendi aralarında akdedecekleri, konusu serbest bölgeler </w:t>
            </w:r>
            <w:proofErr w:type="gramStart"/>
            <w:r w:rsidRPr="00E12560">
              <w:rPr>
                <w:rFonts w:ascii="Arial" w:hAnsi="Arial" w:cs="Arial"/>
                <w:sz w:val="24"/>
                <w:szCs w:val="24"/>
              </w:rPr>
              <w:t>dahil</w:t>
            </w:r>
            <w:proofErr w:type="gramEnd"/>
            <w:r w:rsidRPr="00E12560">
              <w:rPr>
                <w:rFonts w:ascii="Arial" w:hAnsi="Arial" w:cs="Arial"/>
                <w:sz w:val="24"/>
                <w:szCs w:val="24"/>
              </w:rPr>
              <w:t xml:space="preserve"> yurt içinde yer alan gayrimenkuller olan, konut ve çatılı iş yeri dâhil gayrimenkul </w:t>
            </w:r>
            <w:r w:rsidRPr="00E12560">
              <w:rPr>
                <w:rFonts w:ascii="Arial" w:hAnsi="Arial" w:cs="Arial"/>
                <w:b/>
                <w:sz w:val="24"/>
                <w:szCs w:val="24"/>
                <w:u w:val="single"/>
              </w:rPr>
              <w:t>satış sözleşmelerinde</w:t>
            </w:r>
            <w:r w:rsidRPr="00E12560">
              <w:rPr>
                <w:rFonts w:ascii="Arial" w:hAnsi="Arial" w:cs="Arial"/>
                <w:sz w:val="24"/>
                <w:szCs w:val="24"/>
              </w:rPr>
              <w:t xml:space="preserve"> sözleşme bedelini ve bu sözleşmelerden kaynaklanan diğer ödeme yükümlülüklerini döviz cinsinden veya dövize endeksli olarak </w:t>
            </w:r>
            <w:r w:rsidRPr="00E12560">
              <w:rPr>
                <w:rFonts w:ascii="Arial" w:hAnsi="Arial" w:cs="Arial"/>
                <w:b/>
                <w:sz w:val="24"/>
                <w:szCs w:val="24"/>
                <w:u w:val="single"/>
              </w:rPr>
              <w:t>kararlaştıramazlar.</w:t>
            </w:r>
          </w:p>
          <w:p w:rsidR="00FA0ABD" w:rsidRPr="00E12560" w:rsidRDefault="00FA0ABD" w:rsidP="00573695">
            <w:pPr>
              <w:pStyle w:val="AralkYok"/>
              <w:spacing w:line="360" w:lineRule="auto"/>
              <w:jc w:val="both"/>
              <w:rPr>
                <w:rFonts w:ascii="Arial" w:hAnsi="Arial" w:cs="Arial"/>
                <w:b/>
                <w:color w:val="000000" w:themeColor="text1"/>
                <w:sz w:val="24"/>
                <w:szCs w:val="24"/>
              </w:rPr>
            </w:pPr>
            <w:r w:rsidRPr="00E12560">
              <w:rPr>
                <w:rFonts w:ascii="Arial" w:hAnsi="Arial" w:cs="Arial"/>
                <w:b/>
                <w:color w:val="000000" w:themeColor="text1"/>
                <w:sz w:val="24"/>
                <w:szCs w:val="24"/>
              </w:rPr>
              <w:t xml:space="preserve">13.9.2018 tarihinden önce </w:t>
            </w:r>
            <w:proofErr w:type="gramStart"/>
            <w:r w:rsidRPr="00E12560">
              <w:rPr>
                <w:rFonts w:ascii="Arial" w:hAnsi="Arial" w:cs="Arial"/>
                <w:b/>
                <w:color w:val="000000" w:themeColor="text1"/>
                <w:sz w:val="24"/>
                <w:szCs w:val="24"/>
              </w:rPr>
              <w:t>akdedilen  sözleşmeler</w:t>
            </w:r>
            <w:proofErr w:type="gramEnd"/>
            <w:r w:rsidRPr="00E12560">
              <w:rPr>
                <w:rFonts w:ascii="Arial" w:hAnsi="Arial" w:cs="Arial"/>
                <w:b/>
                <w:color w:val="000000" w:themeColor="text1"/>
                <w:sz w:val="24"/>
                <w:szCs w:val="24"/>
              </w:rPr>
              <w:t>; Türk parası olarak taraflarca yeniden belirlenmelidir.</w:t>
            </w:r>
          </w:p>
          <w:p w:rsidR="00FA0ABD" w:rsidRPr="00E12560" w:rsidRDefault="00FA0ABD" w:rsidP="00573695">
            <w:pPr>
              <w:pStyle w:val="AralkYok"/>
              <w:spacing w:line="360" w:lineRule="auto"/>
              <w:jc w:val="both"/>
              <w:rPr>
                <w:rFonts w:ascii="Arial" w:hAnsi="Arial" w:cs="Arial"/>
                <w:sz w:val="24"/>
                <w:szCs w:val="24"/>
              </w:rPr>
            </w:pPr>
          </w:p>
        </w:tc>
      </w:tr>
      <w:tr w:rsidR="00FA0ABD" w:rsidRPr="00C07F21" w:rsidTr="00FA0ABD">
        <w:tc>
          <w:tcPr>
            <w:tcW w:w="9990" w:type="dxa"/>
          </w:tcPr>
          <w:p w:rsidR="00FA0ABD" w:rsidRPr="00E12560" w:rsidRDefault="00FA0ABD" w:rsidP="00FA0ABD">
            <w:pPr>
              <w:pStyle w:val="Balk1"/>
              <w:numPr>
                <w:ilvl w:val="0"/>
                <w:numId w:val="35"/>
              </w:numPr>
              <w:spacing w:after="240" w:line="240" w:lineRule="auto"/>
              <w:rPr>
                <w:rFonts w:ascii="Arial" w:hAnsi="Arial" w:cs="Arial"/>
                <w:b/>
                <w:sz w:val="24"/>
                <w:szCs w:val="24"/>
              </w:rPr>
            </w:pPr>
            <w:bookmarkStart w:id="2" w:name="_Toc526856013"/>
            <w:proofErr w:type="gramStart"/>
            <w:r w:rsidRPr="00E12560">
              <w:rPr>
                <w:rFonts w:ascii="Arial" w:hAnsi="Arial" w:cs="Arial"/>
                <w:sz w:val="28"/>
                <w:szCs w:val="28"/>
              </w:rPr>
              <w:t>Gayrimenkul  kiralama</w:t>
            </w:r>
            <w:proofErr w:type="gramEnd"/>
            <w:r w:rsidRPr="00E12560">
              <w:rPr>
                <w:rFonts w:ascii="Arial" w:hAnsi="Arial" w:cs="Arial"/>
                <w:sz w:val="28"/>
                <w:szCs w:val="28"/>
              </w:rPr>
              <w:t xml:space="preserve">  sözleşmeleri</w:t>
            </w:r>
            <w:bookmarkEnd w:id="2"/>
          </w:p>
        </w:tc>
      </w:tr>
      <w:tr w:rsidR="00FA0ABD" w:rsidRPr="00C07F21" w:rsidTr="00FA0ABD">
        <w:tc>
          <w:tcPr>
            <w:tcW w:w="9990" w:type="dxa"/>
          </w:tcPr>
          <w:p w:rsidR="00FA0ABD" w:rsidRPr="00E12560" w:rsidRDefault="00FA0ABD" w:rsidP="00573695">
            <w:pPr>
              <w:pStyle w:val="AralkYok"/>
              <w:spacing w:line="360" w:lineRule="auto"/>
              <w:jc w:val="both"/>
              <w:rPr>
                <w:rFonts w:ascii="Arial" w:hAnsi="Arial" w:cs="Arial"/>
                <w:sz w:val="24"/>
                <w:szCs w:val="24"/>
              </w:rPr>
            </w:pPr>
          </w:p>
          <w:p w:rsidR="00FA0ABD" w:rsidRPr="00E12560" w:rsidRDefault="00FA0ABD" w:rsidP="00573695">
            <w:pPr>
              <w:pStyle w:val="AralkYok"/>
              <w:spacing w:line="360" w:lineRule="auto"/>
              <w:jc w:val="both"/>
              <w:rPr>
                <w:rFonts w:ascii="Arial" w:hAnsi="Arial" w:cs="Arial"/>
                <w:b/>
                <w:sz w:val="24"/>
                <w:szCs w:val="24"/>
                <w:u w:val="single"/>
              </w:rPr>
            </w:pPr>
            <w:r w:rsidRPr="00E12560">
              <w:rPr>
                <w:rFonts w:ascii="Arial" w:hAnsi="Arial" w:cs="Arial"/>
                <w:sz w:val="24"/>
                <w:szCs w:val="24"/>
              </w:rPr>
              <w:t xml:space="preserve">Türkiye’de yerleşik kişiler; kendi aralarında akdedecekleri, konusu serbest bölgeler </w:t>
            </w:r>
            <w:proofErr w:type="gramStart"/>
            <w:r w:rsidRPr="00E12560">
              <w:rPr>
                <w:rFonts w:ascii="Arial" w:hAnsi="Arial" w:cs="Arial"/>
                <w:sz w:val="24"/>
                <w:szCs w:val="24"/>
              </w:rPr>
              <w:t>dahil</w:t>
            </w:r>
            <w:proofErr w:type="gramEnd"/>
            <w:r w:rsidRPr="00E12560">
              <w:rPr>
                <w:rFonts w:ascii="Arial" w:hAnsi="Arial" w:cs="Arial"/>
                <w:sz w:val="24"/>
                <w:szCs w:val="24"/>
              </w:rPr>
              <w:t xml:space="preserve"> yurt içinde yer alan gayrimenkuller olan, konut ve çatılı iş yeri dâhil gayrimenkul </w:t>
            </w:r>
            <w:r w:rsidRPr="00E12560">
              <w:rPr>
                <w:rFonts w:ascii="Arial" w:hAnsi="Arial" w:cs="Arial"/>
                <w:b/>
                <w:sz w:val="24"/>
                <w:szCs w:val="24"/>
                <w:u w:val="single"/>
              </w:rPr>
              <w:t>kiralama sözleşmelerinde</w:t>
            </w:r>
            <w:r w:rsidRPr="00E12560">
              <w:rPr>
                <w:rFonts w:ascii="Arial" w:hAnsi="Arial" w:cs="Arial"/>
                <w:sz w:val="24"/>
                <w:szCs w:val="24"/>
              </w:rPr>
              <w:t xml:space="preserve"> sözleşme bedelini ve bu sözleşmelerden kaynaklanan diğer ödeme yükümlülüklerini döviz cinsinden veya dövize endeksli olarak </w:t>
            </w:r>
            <w:r w:rsidRPr="00E12560">
              <w:rPr>
                <w:rFonts w:ascii="Arial" w:hAnsi="Arial" w:cs="Arial"/>
                <w:b/>
                <w:sz w:val="24"/>
                <w:szCs w:val="24"/>
                <w:u w:val="single"/>
              </w:rPr>
              <w:t>kararlaştıramazlar.</w:t>
            </w:r>
          </w:p>
          <w:p w:rsidR="00FA0ABD" w:rsidRPr="00E12560" w:rsidRDefault="00FA0ABD" w:rsidP="00573695">
            <w:pPr>
              <w:pStyle w:val="AralkYok"/>
              <w:spacing w:line="360" w:lineRule="auto"/>
              <w:jc w:val="both"/>
              <w:rPr>
                <w:rFonts w:ascii="Arial" w:hAnsi="Arial" w:cs="Arial"/>
                <w:b/>
                <w:color w:val="000000" w:themeColor="text1"/>
                <w:sz w:val="24"/>
                <w:szCs w:val="24"/>
              </w:rPr>
            </w:pPr>
            <w:r w:rsidRPr="00E12560">
              <w:rPr>
                <w:rFonts w:ascii="Arial" w:hAnsi="Arial" w:cs="Arial"/>
                <w:b/>
                <w:color w:val="000000" w:themeColor="text1"/>
                <w:sz w:val="24"/>
                <w:szCs w:val="24"/>
              </w:rPr>
              <w:t xml:space="preserve">13.9.2018 tarihinden önce </w:t>
            </w:r>
            <w:proofErr w:type="gramStart"/>
            <w:r w:rsidRPr="00E12560">
              <w:rPr>
                <w:rFonts w:ascii="Arial" w:hAnsi="Arial" w:cs="Arial"/>
                <w:b/>
                <w:color w:val="000000" w:themeColor="text1"/>
                <w:sz w:val="24"/>
                <w:szCs w:val="24"/>
              </w:rPr>
              <w:t>akdedilen  sözleşmeler</w:t>
            </w:r>
            <w:proofErr w:type="gramEnd"/>
            <w:r w:rsidRPr="00E12560">
              <w:rPr>
                <w:rFonts w:ascii="Arial" w:hAnsi="Arial" w:cs="Arial"/>
                <w:b/>
                <w:color w:val="000000" w:themeColor="text1"/>
                <w:sz w:val="24"/>
                <w:szCs w:val="24"/>
              </w:rPr>
              <w:t>; Türk parası olarak taraflarca yeniden belirlenmelidir.</w:t>
            </w:r>
          </w:p>
          <w:p w:rsidR="00FA0ABD" w:rsidRPr="00E12560" w:rsidRDefault="00FA0ABD" w:rsidP="00573695">
            <w:pPr>
              <w:pStyle w:val="AralkYok"/>
              <w:spacing w:line="360" w:lineRule="auto"/>
              <w:jc w:val="both"/>
              <w:rPr>
                <w:rFonts w:ascii="Arial" w:hAnsi="Arial" w:cs="Arial"/>
                <w:b/>
                <w:sz w:val="24"/>
                <w:szCs w:val="24"/>
                <w:u w:val="single"/>
              </w:rPr>
            </w:pPr>
          </w:p>
          <w:p w:rsidR="00FA0ABD" w:rsidRPr="00E12560" w:rsidRDefault="00FA0ABD" w:rsidP="00573695">
            <w:pPr>
              <w:pStyle w:val="AralkYok"/>
              <w:spacing w:line="360" w:lineRule="auto"/>
              <w:jc w:val="both"/>
              <w:rPr>
                <w:rFonts w:ascii="Arial" w:hAnsi="Arial" w:cs="Arial"/>
                <w:sz w:val="24"/>
                <w:szCs w:val="24"/>
              </w:rPr>
            </w:pPr>
          </w:p>
        </w:tc>
      </w:tr>
      <w:tr w:rsidR="00FA0ABD" w:rsidRPr="00C07F21" w:rsidTr="00FA0ABD">
        <w:tc>
          <w:tcPr>
            <w:tcW w:w="9990" w:type="dxa"/>
          </w:tcPr>
          <w:p w:rsidR="00FA0ABD" w:rsidRPr="00E12560" w:rsidRDefault="00FA0ABD" w:rsidP="00FA0ABD">
            <w:pPr>
              <w:pStyle w:val="Balk1"/>
              <w:numPr>
                <w:ilvl w:val="0"/>
                <w:numId w:val="35"/>
              </w:numPr>
              <w:spacing w:after="240" w:line="240" w:lineRule="auto"/>
              <w:rPr>
                <w:rFonts w:ascii="Arial" w:hAnsi="Arial" w:cs="Arial"/>
                <w:sz w:val="28"/>
                <w:szCs w:val="28"/>
              </w:rPr>
            </w:pPr>
            <w:bookmarkStart w:id="3" w:name="_Toc526856014"/>
            <w:r w:rsidRPr="00E12560">
              <w:rPr>
                <w:rFonts w:ascii="Arial" w:hAnsi="Arial" w:cs="Arial"/>
                <w:sz w:val="28"/>
                <w:szCs w:val="28"/>
              </w:rPr>
              <w:t>İş akdi sözleşmeleri</w:t>
            </w:r>
            <w:bookmarkEnd w:id="3"/>
            <w:r w:rsidRPr="00E12560">
              <w:rPr>
                <w:rFonts w:ascii="Arial" w:hAnsi="Arial" w:cs="Arial"/>
                <w:sz w:val="28"/>
                <w:szCs w:val="28"/>
              </w:rPr>
              <w:t xml:space="preserve"> </w:t>
            </w:r>
          </w:p>
        </w:tc>
      </w:tr>
      <w:tr w:rsidR="00FA0ABD" w:rsidRPr="00C07F21" w:rsidTr="00FA0ABD">
        <w:tc>
          <w:tcPr>
            <w:tcW w:w="9990" w:type="dxa"/>
          </w:tcPr>
          <w:p w:rsidR="00FA0ABD" w:rsidRPr="00E12560" w:rsidRDefault="00FA0ABD" w:rsidP="00573695">
            <w:pPr>
              <w:pStyle w:val="AralkYok"/>
              <w:spacing w:line="360" w:lineRule="auto"/>
              <w:jc w:val="both"/>
              <w:rPr>
                <w:rFonts w:ascii="Arial" w:hAnsi="Arial" w:cs="Arial"/>
                <w:sz w:val="24"/>
                <w:szCs w:val="24"/>
              </w:rPr>
            </w:pPr>
          </w:p>
          <w:p w:rsidR="00FA0ABD" w:rsidRPr="00E12560" w:rsidRDefault="00FA0ABD" w:rsidP="00573695">
            <w:pPr>
              <w:pStyle w:val="AralkYok"/>
              <w:spacing w:line="360" w:lineRule="auto"/>
              <w:jc w:val="both"/>
              <w:rPr>
                <w:rFonts w:ascii="Arial" w:hAnsi="Arial" w:cs="Arial"/>
                <w:b/>
                <w:sz w:val="24"/>
                <w:szCs w:val="24"/>
                <w:u w:val="single"/>
              </w:rPr>
            </w:pPr>
            <w:r w:rsidRPr="00E12560">
              <w:rPr>
                <w:rFonts w:ascii="Arial" w:hAnsi="Arial" w:cs="Arial"/>
                <w:sz w:val="24"/>
                <w:szCs w:val="24"/>
              </w:rPr>
              <w:t xml:space="preserve">Türkiye’de yerleşik kişiler; yurt dışında ifa edilecekler dışında kalan, kendi aralarında akdedecekleri, </w:t>
            </w:r>
            <w:r w:rsidRPr="00E12560">
              <w:rPr>
                <w:rFonts w:ascii="Arial" w:hAnsi="Arial" w:cs="Arial"/>
                <w:b/>
                <w:sz w:val="24"/>
                <w:szCs w:val="24"/>
                <w:u w:val="single"/>
              </w:rPr>
              <w:t>iş sözleşmelerinde sözleşme bedelini</w:t>
            </w:r>
            <w:r w:rsidRPr="00E12560">
              <w:rPr>
                <w:rFonts w:ascii="Arial" w:hAnsi="Arial" w:cs="Arial"/>
                <w:sz w:val="24"/>
                <w:szCs w:val="24"/>
              </w:rPr>
              <w:t xml:space="preserve"> ve bu sözleşmelerden kaynaklanan diğer ödeme yükümlülüklerini döviz cinsinden veya dövize endeksli olarak </w:t>
            </w:r>
            <w:r w:rsidRPr="00E12560">
              <w:rPr>
                <w:rFonts w:ascii="Arial" w:hAnsi="Arial" w:cs="Arial"/>
                <w:b/>
                <w:sz w:val="24"/>
                <w:szCs w:val="24"/>
                <w:u w:val="single"/>
              </w:rPr>
              <w:t>kararlaştıramazlar.</w:t>
            </w:r>
          </w:p>
          <w:p w:rsidR="00FA0ABD" w:rsidRPr="00E12560" w:rsidRDefault="00FA0ABD" w:rsidP="00573695">
            <w:pPr>
              <w:pStyle w:val="AralkYok"/>
              <w:spacing w:line="360" w:lineRule="auto"/>
              <w:jc w:val="both"/>
              <w:rPr>
                <w:rFonts w:ascii="Arial" w:hAnsi="Arial" w:cs="Arial"/>
                <w:b/>
                <w:color w:val="000000" w:themeColor="text1"/>
                <w:sz w:val="24"/>
                <w:szCs w:val="24"/>
              </w:rPr>
            </w:pPr>
            <w:r w:rsidRPr="00E12560">
              <w:rPr>
                <w:rFonts w:ascii="Arial" w:hAnsi="Arial" w:cs="Arial"/>
                <w:b/>
                <w:color w:val="000000" w:themeColor="text1"/>
                <w:sz w:val="24"/>
                <w:szCs w:val="24"/>
              </w:rPr>
              <w:t xml:space="preserve">13.9.2018 tarihinden önce </w:t>
            </w:r>
            <w:proofErr w:type="gramStart"/>
            <w:r w:rsidRPr="00E12560">
              <w:rPr>
                <w:rFonts w:ascii="Arial" w:hAnsi="Arial" w:cs="Arial"/>
                <w:b/>
                <w:color w:val="000000" w:themeColor="text1"/>
                <w:sz w:val="24"/>
                <w:szCs w:val="24"/>
              </w:rPr>
              <w:t>akdedilen  sözleşmeler</w:t>
            </w:r>
            <w:proofErr w:type="gramEnd"/>
            <w:r w:rsidRPr="00E12560">
              <w:rPr>
                <w:rFonts w:ascii="Arial" w:hAnsi="Arial" w:cs="Arial"/>
                <w:b/>
                <w:color w:val="000000" w:themeColor="text1"/>
                <w:sz w:val="24"/>
                <w:szCs w:val="24"/>
              </w:rPr>
              <w:t>; Türk parası olarak taraflarca yeniden belirlenmelidir.</w:t>
            </w:r>
          </w:p>
          <w:p w:rsidR="00FA0ABD" w:rsidRPr="00E12560" w:rsidRDefault="00FA0ABD" w:rsidP="00573695">
            <w:pPr>
              <w:pStyle w:val="AralkYok"/>
              <w:spacing w:line="360" w:lineRule="auto"/>
              <w:jc w:val="both"/>
              <w:rPr>
                <w:rFonts w:ascii="Arial" w:hAnsi="Arial" w:cs="Arial"/>
                <w:sz w:val="24"/>
                <w:szCs w:val="24"/>
              </w:rPr>
            </w:pPr>
          </w:p>
        </w:tc>
      </w:tr>
      <w:tr w:rsidR="00FA0ABD" w:rsidRPr="00C07F21" w:rsidTr="00FA0ABD">
        <w:tc>
          <w:tcPr>
            <w:tcW w:w="9990" w:type="dxa"/>
          </w:tcPr>
          <w:p w:rsidR="00FA0ABD" w:rsidRPr="00E12560" w:rsidRDefault="00FA0ABD" w:rsidP="00FA0ABD">
            <w:pPr>
              <w:pStyle w:val="Balk1"/>
              <w:numPr>
                <w:ilvl w:val="0"/>
                <w:numId w:val="35"/>
              </w:numPr>
              <w:spacing w:after="240" w:line="240" w:lineRule="auto"/>
              <w:rPr>
                <w:rFonts w:ascii="Arial" w:hAnsi="Arial" w:cs="Arial"/>
                <w:sz w:val="28"/>
                <w:szCs w:val="28"/>
              </w:rPr>
            </w:pPr>
            <w:bookmarkStart w:id="4" w:name="_Toc526856015"/>
            <w:r w:rsidRPr="00E12560">
              <w:rPr>
                <w:rFonts w:ascii="Arial" w:hAnsi="Arial" w:cs="Arial"/>
                <w:sz w:val="28"/>
                <w:szCs w:val="28"/>
              </w:rPr>
              <w:t>Danışmanlık, aracılık ve taşımacılık dâhil hizmet sözleşmeleri</w:t>
            </w:r>
            <w:bookmarkEnd w:id="4"/>
          </w:p>
        </w:tc>
      </w:tr>
      <w:tr w:rsidR="00FA0ABD" w:rsidRPr="00C07F21" w:rsidTr="00FA0ABD">
        <w:trPr>
          <w:trHeight w:val="5846"/>
        </w:trPr>
        <w:tc>
          <w:tcPr>
            <w:tcW w:w="9990" w:type="dxa"/>
          </w:tcPr>
          <w:p w:rsidR="00FA0ABD" w:rsidRPr="00E12560" w:rsidRDefault="00FA0ABD" w:rsidP="00573695">
            <w:pPr>
              <w:pStyle w:val="AralkYok"/>
              <w:spacing w:line="360" w:lineRule="auto"/>
              <w:jc w:val="both"/>
              <w:rPr>
                <w:rFonts w:ascii="Arial" w:hAnsi="Arial" w:cs="Arial"/>
                <w:sz w:val="24"/>
                <w:szCs w:val="24"/>
              </w:rPr>
            </w:pPr>
          </w:p>
          <w:p w:rsidR="00FA0ABD" w:rsidRPr="00E12560" w:rsidRDefault="00FA0ABD" w:rsidP="00573695">
            <w:pPr>
              <w:pStyle w:val="AralkYok"/>
              <w:spacing w:line="360" w:lineRule="auto"/>
              <w:jc w:val="both"/>
              <w:rPr>
                <w:rFonts w:ascii="Arial" w:hAnsi="Arial" w:cs="Arial"/>
                <w:sz w:val="24"/>
                <w:szCs w:val="24"/>
              </w:rPr>
            </w:pPr>
            <w:r w:rsidRPr="00E12560">
              <w:rPr>
                <w:rFonts w:ascii="Arial" w:hAnsi="Arial" w:cs="Arial"/>
                <w:sz w:val="24"/>
                <w:szCs w:val="24"/>
              </w:rPr>
              <w:t xml:space="preserve">Türkiye’de yerleşik kişiler; kendi aralarında akdedecekleri, aşağıda belirtilenler dışında kalan danışmanlık, aracılık ve taşımacılık </w:t>
            </w:r>
            <w:proofErr w:type="gramStart"/>
            <w:r w:rsidRPr="00E12560">
              <w:rPr>
                <w:rFonts w:ascii="Arial" w:hAnsi="Arial" w:cs="Arial"/>
                <w:sz w:val="24"/>
                <w:szCs w:val="24"/>
              </w:rPr>
              <w:t>dahil</w:t>
            </w:r>
            <w:proofErr w:type="gramEnd"/>
            <w:r w:rsidRPr="00E12560">
              <w:rPr>
                <w:rFonts w:ascii="Arial" w:hAnsi="Arial" w:cs="Arial"/>
                <w:sz w:val="24"/>
                <w:szCs w:val="24"/>
              </w:rPr>
              <w:t xml:space="preserve"> hizmet sözleşmelerinde, sözleşme bedelini ve bu sözleşmelerden kaynaklanan diğer ödeme yükümlülüklerini döviz cinsinden veya dövize endeksli olarak kararlaştıramazlar.</w:t>
            </w:r>
          </w:p>
          <w:p w:rsidR="00FA0ABD" w:rsidRPr="00E12560" w:rsidRDefault="00FA0ABD" w:rsidP="00573695">
            <w:pPr>
              <w:pStyle w:val="AralkYok"/>
              <w:spacing w:line="360" w:lineRule="auto"/>
              <w:jc w:val="both"/>
              <w:rPr>
                <w:rFonts w:ascii="Arial" w:hAnsi="Arial" w:cs="Arial"/>
                <w:sz w:val="24"/>
                <w:szCs w:val="24"/>
              </w:rPr>
            </w:pPr>
            <w:r w:rsidRPr="00E12560">
              <w:rPr>
                <w:rFonts w:ascii="Arial" w:hAnsi="Arial" w:cs="Arial"/>
                <w:sz w:val="24"/>
                <w:szCs w:val="24"/>
              </w:rPr>
              <w:t>a) Türkiye Cumhuriyeti Devleti ile vatandaşlık bağı bulunmayan kişilerin taraf oldukları hizmet sözleşmeleri,</w:t>
            </w:r>
          </w:p>
          <w:p w:rsidR="00FA0ABD" w:rsidRPr="00E12560" w:rsidRDefault="00FA0ABD" w:rsidP="00573695">
            <w:pPr>
              <w:pStyle w:val="AralkYok"/>
              <w:spacing w:line="360" w:lineRule="auto"/>
              <w:jc w:val="both"/>
              <w:rPr>
                <w:rFonts w:ascii="Arial" w:hAnsi="Arial" w:cs="Arial"/>
                <w:sz w:val="24"/>
                <w:szCs w:val="24"/>
              </w:rPr>
            </w:pPr>
            <w:r w:rsidRPr="00E12560">
              <w:rPr>
                <w:rFonts w:ascii="Arial" w:hAnsi="Arial" w:cs="Arial"/>
                <w:sz w:val="24"/>
                <w:szCs w:val="24"/>
              </w:rPr>
              <w:t xml:space="preserve">b) İhracat, transit ticaret, ihracat sayılan satış ve teslimler ile döviz kazandırıcı hizmet ve faaliyetler kapsamında yapılan hizmet sözleşmeleri, </w:t>
            </w:r>
          </w:p>
          <w:p w:rsidR="00FA0ABD" w:rsidRPr="00E12560" w:rsidRDefault="00FA0ABD" w:rsidP="00573695">
            <w:pPr>
              <w:pStyle w:val="AralkYok"/>
              <w:spacing w:line="360" w:lineRule="auto"/>
              <w:jc w:val="both"/>
              <w:rPr>
                <w:rFonts w:ascii="Arial" w:hAnsi="Arial" w:cs="Arial"/>
                <w:sz w:val="24"/>
                <w:szCs w:val="24"/>
              </w:rPr>
            </w:pPr>
            <w:r w:rsidRPr="00E12560">
              <w:rPr>
                <w:rFonts w:ascii="Arial" w:hAnsi="Arial" w:cs="Arial"/>
                <w:sz w:val="24"/>
                <w:szCs w:val="24"/>
              </w:rPr>
              <w:t>c) Türkiye’de yerleşik kişilerin yurt dışında gerçekleştirecekleri faaliyetler kapsamında yapılan hizmet sözleşmeleri,</w:t>
            </w:r>
          </w:p>
          <w:p w:rsidR="00FA0ABD" w:rsidRPr="00E12560" w:rsidRDefault="00FA0ABD" w:rsidP="00573695">
            <w:pPr>
              <w:pStyle w:val="AralkYok"/>
              <w:spacing w:line="360" w:lineRule="auto"/>
              <w:jc w:val="both"/>
              <w:rPr>
                <w:rFonts w:ascii="Arial" w:hAnsi="Arial" w:cs="Arial"/>
                <w:sz w:val="24"/>
                <w:szCs w:val="24"/>
              </w:rPr>
            </w:pPr>
            <w:r w:rsidRPr="00E12560">
              <w:rPr>
                <w:rFonts w:ascii="Arial" w:hAnsi="Arial" w:cs="Arial"/>
                <w:sz w:val="24"/>
                <w:szCs w:val="24"/>
              </w:rPr>
              <w:t>ç) Türkiye’de yerleşik kişilerin, kendi aralarında akdedecekleri, Türkiye’de başlayıp yurt dışında sonlanan ve yurt dışında başlayıp Türkiye’de sonlanan elektronik haberleşme ile ilgili hizmet sözleşmeleri.</w:t>
            </w:r>
          </w:p>
          <w:p w:rsidR="00FA0ABD" w:rsidRPr="00E12560" w:rsidRDefault="00FA0ABD" w:rsidP="00573695">
            <w:pPr>
              <w:pStyle w:val="AralkYok"/>
              <w:spacing w:line="360" w:lineRule="auto"/>
              <w:jc w:val="both"/>
              <w:rPr>
                <w:rFonts w:ascii="Arial" w:hAnsi="Arial" w:cs="Arial"/>
                <w:sz w:val="24"/>
                <w:szCs w:val="24"/>
              </w:rPr>
            </w:pPr>
          </w:p>
          <w:p w:rsidR="00FA0ABD" w:rsidRPr="00E12560" w:rsidRDefault="00FA0ABD" w:rsidP="00573695">
            <w:pPr>
              <w:pStyle w:val="AralkYok"/>
              <w:spacing w:line="360" w:lineRule="auto"/>
              <w:jc w:val="both"/>
              <w:rPr>
                <w:rFonts w:ascii="Arial" w:hAnsi="Arial" w:cs="Arial"/>
                <w:b/>
                <w:color w:val="000000" w:themeColor="text1"/>
                <w:sz w:val="24"/>
                <w:szCs w:val="24"/>
              </w:rPr>
            </w:pPr>
            <w:r w:rsidRPr="00E12560">
              <w:rPr>
                <w:rFonts w:ascii="Arial" w:hAnsi="Arial" w:cs="Arial"/>
                <w:b/>
                <w:color w:val="000000" w:themeColor="text1"/>
                <w:sz w:val="24"/>
                <w:szCs w:val="24"/>
              </w:rPr>
              <w:t xml:space="preserve">13.9.2018 tarihinden önce </w:t>
            </w:r>
            <w:proofErr w:type="gramStart"/>
            <w:r w:rsidRPr="00E12560">
              <w:rPr>
                <w:rFonts w:ascii="Arial" w:hAnsi="Arial" w:cs="Arial"/>
                <w:b/>
                <w:color w:val="000000" w:themeColor="text1"/>
                <w:sz w:val="24"/>
                <w:szCs w:val="24"/>
              </w:rPr>
              <w:t>akdedilen  sözleşmeler</w:t>
            </w:r>
            <w:proofErr w:type="gramEnd"/>
            <w:r w:rsidRPr="00E12560">
              <w:rPr>
                <w:rFonts w:ascii="Arial" w:hAnsi="Arial" w:cs="Arial"/>
                <w:b/>
                <w:color w:val="000000" w:themeColor="text1"/>
                <w:sz w:val="24"/>
                <w:szCs w:val="24"/>
              </w:rPr>
              <w:t>; Türk parası olarak taraflarca yeniden belirlenmelidir.</w:t>
            </w:r>
          </w:p>
          <w:p w:rsidR="00FA0ABD" w:rsidRPr="00E12560" w:rsidRDefault="00FA0ABD" w:rsidP="00573695">
            <w:pPr>
              <w:pStyle w:val="AralkYok"/>
              <w:spacing w:line="360" w:lineRule="auto"/>
              <w:jc w:val="both"/>
              <w:rPr>
                <w:rFonts w:ascii="Arial" w:hAnsi="Arial" w:cs="Arial"/>
                <w:sz w:val="24"/>
                <w:szCs w:val="24"/>
              </w:rPr>
            </w:pPr>
          </w:p>
        </w:tc>
      </w:tr>
      <w:tr w:rsidR="00FA0ABD" w:rsidRPr="00C07F21" w:rsidTr="00FA0ABD">
        <w:tc>
          <w:tcPr>
            <w:tcW w:w="9990" w:type="dxa"/>
          </w:tcPr>
          <w:p w:rsidR="00FA0ABD" w:rsidRPr="00E12560" w:rsidRDefault="00FA0ABD" w:rsidP="00FA0ABD">
            <w:pPr>
              <w:pStyle w:val="Balk1"/>
              <w:numPr>
                <w:ilvl w:val="0"/>
                <w:numId w:val="35"/>
              </w:numPr>
              <w:spacing w:after="240" w:line="240" w:lineRule="auto"/>
              <w:rPr>
                <w:rFonts w:ascii="Arial" w:hAnsi="Arial" w:cs="Arial"/>
                <w:sz w:val="28"/>
                <w:szCs w:val="28"/>
              </w:rPr>
            </w:pPr>
            <w:bookmarkStart w:id="5" w:name="_Toc526856016"/>
            <w:r w:rsidRPr="00E12560">
              <w:rPr>
                <w:rFonts w:ascii="Arial" w:hAnsi="Arial" w:cs="Arial"/>
                <w:sz w:val="28"/>
                <w:szCs w:val="28"/>
              </w:rPr>
              <w:t>Gemilerin inşası, tamiri ve bakımı dışında kalan eser sözleşmeleri</w:t>
            </w:r>
            <w:bookmarkEnd w:id="5"/>
          </w:p>
        </w:tc>
      </w:tr>
      <w:tr w:rsidR="00FA0ABD" w:rsidRPr="00C07F21" w:rsidTr="00FA0ABD">
        <w:tc>
          <w:tcPr>
            <w:tcW w:w="9990" w:type="dxa"/>
          </w:tcPr>
          <w:p w:rsidR="00FA0ABD" w:rsidRPr="00E12560" w:rsidRDefault="00FA0ABD" w:rsidP="00573695">
            <w:pPr>
              <w:pStyle w:val="AralkYok"/>
              <w:spacing w:line="360" w:lineRule="auto"/>
              <w:jc w:val="both"/>
              <w:rPr>
                <w:rFonts w:ascii="Arial" w:hAnsi="Arial" w:cs="Arial"/>
                <w:sz w:val="24"/>
                <w:szCs w:val="24"/>
              </w:rPr>
            </w:pPr>
          </w:p>
          <w:p w:rsidR="00FA0ABD" w:rsidRPr="00E12560" w:rsidRDefault="00FA0ABD" w:rsidP="00573695">
            <w:pPr>
              <w:pStyle w:val="AralkYok"/>
              <w:spacing w:line="360" w:lineRule="auto"/>
              <w:jc w:val="both"/>
              <w:rPr>
                <w:rFonts w:ascii="Arial" w:hAnsi="Arial" w:cs="Arial"/>
                <w:b/>
                <w:sz w:val="24"/>
                <w:szCs w:val="24"/>
                <w:u w:val="single"/>
              </w:rPr>
            </w:pPr>
            <w:r w:rsidRPr="00E12560">
              <w:rPr>
                <w:rFonts w:ascii="Arial" w:hAnsi="Arial" w:cs="Arial"/>
                <w:sz w:val="24"/>
                <w:szCs w:val="24"/>
              </w:rPr>
              <w:t xml:space="preserve">Türkiye’de yerleşik kişiler; kendi aralarında akdedecekleri, </w:t>
            </w:r>
            <w:proofErr w:type="gramStart"/>
            <w:r w:rsidRPr="00E12560">
              <w:rPr>
                <w:rFonts w:ascii="Arial" w:hAnsi="Arial" w:cs="Arial"/>
                <w:sz w:val="24"/>
                <w:szCs w:val="24"/>
              </w:rPr>
              <w:t>16/12/1999</w:t>
            </w:r>
            <w:proofErr w:type="gramEnd"/>
            <w:r w:rsidRPr="00E12560">
              <w:rPr>
                <w:rFonts w:ascii="Arial" w:hAnsi="Arial" w:cs="Arial"/>
                <w:sz w:val="24"/>
                <w:szCs w:val="24"/>
              </w:rPr>
              <w:t xml:space="preserve"> tarihli ve 4490 sayılı Türk Uluslararası Gemi Sicili Kanunu ile 491 sayılı Kanun Hükmünde Kararnamede Değişiklik Yapılmasına Dair Kanunda tanımlanan gemilerin inşası, tamiri ve bakımı dışında kalan eser sözleşmelerinde sözleşme bedelini ve bu sözleşmelerden kaynaklanan diğer ödeme yükümlülüklerini döviz cinsinden veya dövize endeksli olarak </w:t>
            </w:r>
            <w:r w:rsidRPr="00E12560">
              <w:rPr>
                <w:rFonts w:ascii="Arial" w:hAnsi="Arial" w:cs="Arial"/>
                <w:b/>
                <w:sz w:val="24"/>
                <w:szCs w:val="24"/>
                <w:u w:val="single"/>
              </w:rPr>
              <w:t>kararlaştıramazlar.</w:t>
            </w:r>
          </w:p>
          <w:p w:rsidR="00FA0ABD" w:rsidRPr="00E12560" w:rsidRDefault="00FA0ABD" w:rsidP="00573695">
            <w:pPr>
              <w:pStyle w:val="AralkYok"/>
              <w:spacing w:line="360" w:lineRule="auto"/>
              <w:jc w:val="both"/>
              <w:rPr>
                <w:rFonts w:ascii="Arial" w:hAnsi="Arial" w:cs="Arial"/>
                <w:b/>
                <w:color w:val="000000" w:themeColor="text1"/>
                <w:sz w:val="24"/>
                <w:szCs w:val="24"/>
              </w:rPr>
            </w:pPr>
            <w:r w:rsidRPr="00E12560">
              <w:rPr>
                <w:rFonts w:ascii="Arial" w:hAnsi="Arial" w:cs="Arial"/>
                <w:b/>
                <w:color w:val="000000" w:themeColor="text1"/>
                <w:sz w:val="24"/>
                <w:szCs w:val="24"/>
              </w:rPr>
              <w:t xml:space="preserve"> 13.9.2018 tarihinden önce </w:t>
            </w:r>
            <w:proofErr w:type="gramStart"/>
            <w:r w:rsidRPr="00E12560">
              <w:rPr>
                <w:rFonts w:ascii="Arial" w:hAnsi="Arial" w:cs="Arial"/>
                <w:b/>
                <w:color w:val="000000" w:themeColor="text1"/>
                <w:sz w:val="24"/>
                <w:szCs w:val="24"/>
              </w:rPr>
              <w:t>akdedilen  sözleşmeler</w:t>
            </w:r>
            <w:proofErr w:type="gramEnd"/>
            <w:r w:rsidRPr="00E12560">
              <w:rPr>
                <w:rFonts w:ascii="Arial" w:hAnsi="Arial" w:cs="Arial"/>
                <w:b/>
                <w:color w:val="000000" w:themeColor="text1"/>
                <w:sz w:val="24"/>
                <w:szCs w:val="24"/>
              </w:rPr>
              <w:t>; Türk parası olarak taraflarca yeniden belirlenmelidir.</w:t>
            </w:r>
          </w:p>
          <w:p w:rsidR="00FA0ABD" w:rsidRPr="00E12560" w:rsidRDefault="00FA0ABD" w:rsidP="00573695">
            <w:pPr>
              <w:pStyle w:val="AralkYok"/>
              <w:spacing w:line="360" w:lineRule="auto"/>
              <w:jc w:val="both"/>
              <w:rPr>
                <w:rFonts w:ascii="Arial" w:hAnsi="Arial" w:cs="Arial"/>
                <w:sz w:val="24"/>
                <w:szCs w:val="24"/>
              </w:rPr>
            </w:pPr>
          </w:p>
        </w:tc>
      </w:tr>
      <w:tr w:rsidR="00FA0ABD" w:rsidRPr="00C07F21" w:rsidTr="00FA0ABD">
        <w:tc>
          <w:tcPr>
            <w:tcW w:w="9990" w:type="dxa"/>
          </w:tcPr>
          <w:p w:rsidR="00FA0ABD" w:rsidRPr="00E12560" w:rsidRDefault="00FA0ABD" w:rsidP="00FA0ABD">
            <w:pPr>
              <w:pStyle w:val="Balk1"/>
              <w:numPr>
                <w:ilvl w:val="0"/>
                <w:numId w:val="35"/>
              </w:numPr>
              <w:spacing w:after="240" w:line="240" w:lineRule="auto"/>
              <w:rPr>
                <w:rFonts w:ascii="Arial" w:hAnsi="Arial" w:cs="Arial"/>
                <w:sz w:val="28"/>
                <w:szCs w:val="28"/>
              </w:rPr>
            </w:pPr>
            <w:bookmarkStart w:id="6" w:name="_Toc526856017"/>
            <w:r w:rsidRPr="00E12560">
              <w:rPr>
                <w:rFonts w:ascii="Arial" w:hAnsi="Arial" w:cs="Arial"/>
                <w:sz w:val="28"/>
                <w:szCs w:val="28"/>
              </w:rPr>
              <w:t>İş makineleri dâhil taşıt satış sözleşmeleri dışında kalan menkul satış sözleşmeleri</w:t>
            </w:r>
            <w:bookmarkEnd w:id="6"/>
            <w:r w:rsidRPr="00E12560">
              <w:rPr>
                <w:rFonts w:ascii="Arial" w:hAnsi="Arial" w:cs="Arial"/>
                <w:sz w:val="28"/>
                <w:szCs w:val="28"/>
              </w:rPr>
              <w:t xml:space="preserve"> </w:t>
            </w:r>
          </w:p>
        </w:tc>
      </w:tr>
      <w:tr w:rsidR="00FA0ABD" w:rsidRPr="00C07F21" w:rsidTr="00FA0ABD">
        <w:tc>
          <w:tcPr>
            <w:tcW w:w="9990" w:type="dxa"/>
          </w:tcPr>
          <w:p w:rsidR="00FA0ABD" w:rsidRPr="00E12560" w:rsidRDefault="00FA0ABD" w:rsidP="00573695">
            <w:pPr>
              <w:pStyle w:val="AralkYok"/>
              <w:spacing w:line="360" w:lineRule="auto"/>
              <w:jc w:val="both"/>
              <w:rPr>
                <w:rFonts w:ascii="Arial" w:hAnsi="Arial" w:cs="Arial"/>
                <w:sz w:val="24"/>
                <w:szCs w:val="24"/>
              </w:rPr>
            </w:pPr>
          </w:p>
          <w:p w:rsidR="00FA0ABD" w:rsidRPr="00E12560" w:rsidRDefault="00FA0ABD" w:rsidP="00573695">
            <w:pPr>
              <w:pStyle w:val="AralkYok"/>
              <w:spacing w:line="360" w:lineRule="auto"/>
              <w:jc w:val="both"/>
              <w:rPr>
                <w:rFonts w:ascii="Arial" w:hAnsi="Arial" w:cs="Arial"/>
                <w:sz w:val="24"/>
                <w:szCs w:val="24"/>
              </w:rPr>
            </w:pPr>
            <w:r w:rsidRPr="00E12560">
              <w:rPr>
                <w:rFonts w:ascii="Arial" w:hAnsi="Arial" w:cs="Arial"/>
                <w:sz w:val="24"/>
                <w:szCs w:val="24"/>
              </w:rPr>
              <w:t xml:space="preserve">Türkiye’de yerleşik kişilerin; kendi aralarında akdedecekleri, iş makineleri dâhil taşıt satış sözleşmeleri dışında kalan menkul satış sözleşmelerinde sözleşme bedelini ve bu sözleşmelerden kaynaklanan diğer ödeme yükümlülüklerini döviz cinsinden veya dövize endeksli olarak </w:t>
            </w:r>
            <w:r w:rsidRPr="00E12560">
              <w:rPr>
                <w:rFonts w:ascii="Arial" w:hAnsi="Arial" w:cs="Arial"/>
                <w:b/>
                <w:sz w:val="24"/>
                <w:szCs w:val="24"/>
                <w:u w:val="single"/>
              </w:rPr>
              <w:t>kararlaştırmaları mümkündür.</w:t>
            </w:r>
            <w:r w:rsidRPr="00E12560">
              <w:rPr>
                <w:rFonts w:ascii="Arial" w:hAnsi="Arial" w:cs="Arial"/>
                <w:sz w:val="24"/>
                <w:szCs w:val="24"/>
              </w:rPr>
              <w:t xml:space="preserve"> </w:t>
            </w:r>
          </w:p>
          <w:p w:rsidR="00FA0ABD" w:rsidRPr="00E12560" w:rsidRDefault="00FA0ABD" w:rsidP="00573695">
            <w:pPr>
              <w:pStyle w:val="AralkYok"/>
              <w:spacing w:line="360" w:lineRule="auto"/>
              <w:jc w:val="both"/>
              <w:rPr>
                <w:rFonts w:ascii="Arial" w:hAnsi="Arial" w:cs="Arial"/>
                <w:sz w:val="24"/>
                <w:szCs w:val="24"/>
              </w:rPr>
            </w:pPr>
          </w:p>
        </w:tc>
      </w:tr>
      <w:tr w:rsidR="00FA0ABD" w:rsidRPr="00C07F21" w:rsidTr="00FA0ABD">
        <w:tc>
          <w:tcPr>
            <w:tcW w:w="9990" w:type="dxa"/>
          </w:tcPr>
          <w:p w:rsidR="00FA0ABD" w:rsidRPr="00E12560" w:rsidRDefault="00FA0ABD" w:rsidP="00FA0ABD">
            <w:pPr>
              <w:pStyle w:val="Balk1"/>
              <w:numPr>
                <w:ilvl w:val="0"/>
                <w:numId w:val="35"/>
              </w:numPr>
              <w:spacing w:after="240" w:line="240" w:lineRule="auto"/>
              <w:rPr>
                <w:rFonts w:ascii="Arial" w:hAnsi="Arial" w:cs="Arial"/>
                <w:sz w:val="28"/>
                <w:szCs w:val="28"/>
              </w:rPr>
            </w:pPr>
            <w:bookmarkStart w:id="7" w:name="_Toc526856018"/>
            <w:r w:rsidRPr="00E12560">
              <w:rPr>
                <w:rFonts w:ascii="Arial" w:hAnsi="Arial" w:cs="Arial"/>
                <w:sz w:val="28"/>
                <w:szCs w:val="28"/>
              </w:rPr>
              <w:t xml:space="preserve">İş makineleri dâhil taşıt kiralama sözleşmeleri dışında kalan menkul </w:t>
            </w:r>
            <w:proofErr w:type="gramStart"/>
            <w:r w:rsidRPr="00E12560">
              <w:rPr>
                <w:rFonts w:ascii="Arial" w:hAnsi="Arial" w:cs="Arial"/>
                <w:sz w:val="28"/>
                <w:szCs w:val="28"/>
              </w:rPr>
              <w:t>kiralama  sözleşmeleri</w:t>
            </w:r>
            <w:bookmarkEnd w:id="7"/>
            <w:proofErr w:type="gramEnd"/>
          </w:p>
        </w:tc>
      </w:tr>
      <w:tr w:rsidR="00FA0ABD" w:rsidRPr="00C07F21" w:rsidTr="00FA0ABD">
        <w:tc>
          <w:tcPr>
            <w:tcW w:w="9990" w:type="dxa"/>
          </w:tcPr>
          <w:p w:rsidR="00FA0ABD" w:rsidRPr="00E12560" w:rsidRDefault="00FA0ABD" w:rsidP="00573695">
            <w:pPr>
              <w:pStyle w:val="AralkYok"/>
              <w:spacing w:line="360" w:lineRule="auto"/>
              <w:jc w:val="both"/>
              <w:rPr>
                <w:rFonts w:ascii="Arial" w:hAnsi="Arial" w:cs="Arial"/>
                <w:sz w:val="24"/>
                <w:szCs w:val="24"/>
              </w:rPr>
            </w:pPr>
          </w:p>
          <w:p w:rsidR="00FA0ABD" w:rsidRPr="00E12560" w:rsidRDefault="00FA0ABD" w:rsidP="00573695">
            <w:pPr>
              <w:pStyle w:val="AralkYok"/>
              <w:spacing w:line="360" w:lineRule="auto"/>
              <w:jc w:val="both"/>
              <w:rPr>
                <w:rFonts w:ascii="Arial" w:hAnsi="Arial" w:cs="Arial"/>
                <w:sz w:val="24"/>
                <w:szCs w:val="24"/>
              </w:rPr>
            </w:pPr>
            <w:r w:rsidRPr="00E12560">
              <w:rPr>
                <w:rFonts w:ascii="Arial" w:hAnsi="Arial" w:cs="Arial"/>
                <w:sz w:val="24"/>
                <w:szCs w:val="24"/>
              </w:rPr>
              <w:t xml:space="preserve">Türkiye’de yerleşik kişilerin; kendi aralarında akdedecekleri, iş makineleri dâhil taşıt kiralama sözleşmeleri dışında kalan, menkul kiralama sözleşmelerinde sözleşme bedelini ve bu sözleşmelerden kaynaklanan diğer ödeme yükümlülüklerini döviz cinsinden veya dövize endeksli olarak </w:t>
            </w:r>
            <w:r w:rsidRPr="00E12560">
              <w:rPr>
                <w:rFonts w:ascii="Arial" w:hAnsi="Arial" w:cs="Arial"/>
                <w:b/>
                <w:sz w:val="24"/>
                <w:szCs w:val="24"/>
                <w:u w:val="single"/>
              </w:rPr>
              <w:t>kararlaştırmaları mümkündür.</w:t>
            </w:r>
            <w:r w:rsidRPr="00E12560">
              <w:rPr>
                <w:rFonts w:ascii="Arial" w:hAnsi="Arial" w:cs="Arial"/>
                <w:sz w:val="24"/>
                <w:szCs w:val="24"/>
              </w:rPr>
              <w:t xml:space="preserve"> </w:t>
            </w:r>
          </w:p>
        </w:tc>
      </w:tr>
      <w:tr w:rsidR="00FA0ABD" w:rsidRPr="00C07F21" w:rsidTr="00FA0ABD">
        <w:tc>
          <w:tcPr>
            <w:tcW w:w="9990" w:type="dxa"/>
          </w:tcPr>
          <w:p w:rsidR="00FA0ABD" w:rsidRPr="00E12560" w:rsidRDefault="00FA0ABD" w:rsidP="00FA0ABD">
            <w:pPr>
              <w:pStyle w:val="Balk1"/>
              <w:numPr>
                <w:ilvl w:val="0"/>
                <w:numId w:val="35"/>
              </w:numPr>
              <w:spacing w:after="240" w:line="240" w:lineRule="auto"/>
              <w:jc w:val="both"/>
              <w:rPr>
                <w:rFonts w:ascii="Arial" w:hAnsi="Arial" w:cs="Arial"/>
                <w:sz w:val="28"/>
                <w:szCs w:val="28"/>
              </w:rPr>
            </w:pPr>
            <w:bookmarkStart w:id="8" w:name="_Toc526856019"/>
            <w:r w:rsidRPr="00E12560">
              <w:rPr>
                <w:rFonts w:ascii="Arial" w:hAnsi="Arial" w:cs="Arial"/>
                <w:sz w:val="28"/>
                <w:szCs w:val="28"/>
              </w:rPr>
              <w:t>Bilişim teknolojileri kapsamında yurt dışında üretilen yazılımlara ilişkin satış sözleşmeleri ile donanım ve yazılımlara ilişkin lisans ve hizmet sözleşmelerinde sözleşme bedelini ve bu sözleşmelerden kaynaklanan diğer ödeme yükümlülükleri</w:t>
            </w:r>
            <w:bookmarkEnd w:id="8"/>
          </w:p>
        </w:tc>
      </w:tr>
      <w:tr w:rsidR="00FA0ABD" w:rsidRPr="00C07F21" w:rsidTr="00FA0ABD">
        <w:trPr>
          <w:trHeight w:val="2918"/>
        </w:trPr>
        <w:tc>
          <w:tcPr>
            <w:tcW w:w="9990" w:type="dxa"/>
          </w:tcPr>
          <w:p w:rsidR="00FA0ABD" w:rsidRPr="00E12560" w:rsidRDefault="00FA0ABD" w:rsidP="00573695">
            <w:pPr>
              <w:pStyle w:val="AralkYok"/>
              <w:spacing w:line="360" w:lineRule="auto"/>
              <w:jc w:val="both"/>
              <w:rPr>
                <w:rFonts w:ascii="Arial" w:hAnsi="Arial" w:cs="Arial"/>
                <w:sz w:val="24"/>
                <w:szCs w:val="24"/>
              </w:rPr>
            </w:pPr>
            <w:r w:rsidRPr="00E12560">
              <w:rPr>
                <w:rFonts w:ascii="Arial" w:hAnsi="Arial" w:cs="Arial"/>
                <w:sz w:val="24"/>
                <w:szCs w:val="24"/>
              </w:rPr>
              <w:t>Türkiye’de yerleşik kişilerin; kendi aralarında akdedecekleri, bilişim teknolojileri kapsamında yurt dışında üretilen yazılımlara ilişkin satış sözleşmeleri ile donanım ve yazılımlara ilişkin lisans ve hizmet sözleşmelerinde sözleşme bedelini ve bu sözleşmelerden kaynaklanan diğer ödeme yükümlülüklerini döviz cinsinden veya dövize endeksli olarak kararlaştırmaları mümkündür.</w:t>
            </w:r>
          </w:p>
        </w:tc>
      </w:tr>
      <w:tr w:rsidR="00FA0ABD" w:rsidRPr="00C07F21" w:rsidTr="00FA0ABD">
        <w:tc>
          <w:tcPr>
            <w:tcW w:w="9990" w:type="dxa"/>
          </w:tcPr>
          <w:p w:rsidR="00FA0ABD" w:rsidRPr="00E12560" w:rsidRDefault="00FA0ABD" w:rsidP="00FA0ABD">
            <w:pPr>
              <w:pStyle w:val="Balk1"/>
              <w:numPr>
                <w:ilvl w:val="0"/>
                <w:numId w:val="35"/>
              </w:numPr>
              <w:spacing w:after="240" w:line="240" w:lineRule="auto"/>
              <w:jc w:val="both"/>
              <w:rPr>
                <w:rFonts w:ascii="Arial" w:hAnsi="Arial" w:cs="Arial"/>
                <w:sz w:val="28"/>
                <w:szCs w:val="28"/>
              </w:rPr>
            </w:pPr>
            <w:bookmarkStart w:id="9" w:name="_Toc526856020"/>
            <w:r w:rsidRPr="00E12560">
              <w:rPr>
                <w:rFonts w:ascii="Arial" w:hAnsi="Arial" w:cs="Arial"/>
                <w:sz w:val="28"/>
                <w:szCs w:val="28"/>
              </w:rPr>
              <w:t>Gemilere ilişkin finansal kiralama  (leasing) sözleşmeleri</w:t>
            </w:r>
            <w:bookmarkEnd w:id="9"/>
          </w:p>
        </w:tc>
      </w:tr>
      <w:tr w:rsidR="00FA0ABD" w:rsidRPr="00C07F21" w:rsidTr="00FA0ABD">
        <w:tc>
          <w:tcPr>
            <w:tcW w:w="9990" w:type="dxa"/>
          </w:tcPr>
          <w:p w:rsidR="00FA0ABD" w:rsidRPr="00E12560" w:rsidRDefault="00FA0ABD" w:rsidP="00573695">
            <w:pPr>
              <w:pStyle w:val="AralkYok"/>
              <w:spacing w:line="360" w:lineRule="auto"/>
              <w:jc w:val="both"/>
              <w:rPr>
                <w:rFonts w:ascii="Arial" w:hAnsi="Arial" w:cs="Arial"/>
                <w:sz w:val="24"/>
                <w:szCs w:val="24"/>
              </w:rPr>
            </w:pPr>
          </w:p>
          <w:p w:rsidR="00FA0ABD" w:rsidRPr="00E12560" w:rsidRDefault="00FA0ABD" w:rsidP="00573695">
            <w:pPr>
              <w:pStyle w:val="AralkYok"/>
              <w:spacing w:line="360" w:lineRule="auto"/>
              <w:jc w:val="both"/>
              <w:rPr>
                <w:rFonts w:ascii="Arial" w:hAnsi="Arial" w:cs="Arial"/>
                <w:b/>
                <w:sz w:val="24"/>
                <w:szCs w:val="24"/>
                <w:u w:val="single"/>
              </w:rPr>
            </w:pPr>
            <w:r w:rsidRPr="00E12560">
              <w:rPr>
                <w:rFonts w:ascii="Arial" w:hAnsi="Arial" w:cs="Arial"/>
                <w:sz w:val="24"/>
                <w:szCs w:val="24"/>
              </w:rPr>
              <w:t xml:space="preserve">4490 sayılı Türk Uluslararası Gemi Sicili Kanunu ile 491 sayılı Kanun Hükmünde Kararnamede Değişiklik Yapılmasına Dair Kanunda tanımlanan gemilere ilişkin finansal kiralama  (leasing) sözleşmelerinde, sözleşme bedelinin ve bu sözleşmelerden kaynaklanan diğer ödeme yükümlülüklerin döviz cinsinden veya dövize endeksli olarak </w:t>
            </w:r>
            <w:r w:rsidRPr="00E12560">
              <w:rPr>
                <w:rFonts w:ascii="Arial" w:hAnsi="Arial" w:cs="Arial"/>
                <w:b/>
                <w:sz w:val="24"/>
                <w:szCs w:val="24"/>
                <w:u w:val="single"/>
              </w:rPr>
              <w:t>kararlaştırılması mümkündür.</w:t>
            </w:r>
          </w:p>
        </w:tc>
      </w:tr>
      <w:tr w:rsidR="00FA0ABD" w:rsidRPr="00C07F21" w:rsidTr="00FA0ABD">
        <w:tc>
          <w:tcPr>
            <w:tcW w:w="9990" w:type="dxa"/>
          </w:tcPr>
          <w:p w:rsidR="00FA0ABD" w:rsidRPr="00E12560" w:rsidRDefault="00FA0ABD" w:rsidP="00FA0ABD">
            <w:pPr>
              <w:pStyle w:val="Balk1"/>
              <w:numPr>
                <w:ilvl w:val="0"/>
                <w:numId w:val="35"/>
              </w:numPr>
              <w:spacing w:after="240" w:line="240" w:lineRule="auto"/>
              <w:jc w:val="both"/>
              <w:rPr>
                <w:rFonts w:ascii="Arial" w:hAnsi="Arial" w:cs="Arial"/>
                <w:sz w:val="28"/>
                <w:szCs w:val="28"/>
              </w:rPr>
            </w:pPr>
            <w:bookmarkStart w:id="10" w:name="_Toc526856021"/>
            <w:r w:rsidRPr="00E12560">
              <w:rPr>
                <w:rFonts w:ascii="Arial" w:hAnsi="Arial" w:cs="Arial"/>
                <w:sz w:val="28"/>
                <w:szCs w:val="28"/>
              </w:rPr>
              <w:t xml:space="preserve">Yurt dışından temin edilen kredilere ilişkin 17 ve yurt içinden temin edilen kredilere </w:t>
            </w:r>
            <w:proofErr w:type="gramStart"/>
            <w:r w:rsidRPr="00E12560">
              <w:rPr>
                <w:rFonts w:ascii="Arial" w:hAnsi="Arial" w:cs="Arial"/>
                <w:sz w:val="28"/>
                <w:szCs w:val="28"/>
              </w:rPr>
              <w:t>ilişkin  17</w:t>
            </w:r>
            <w:proofErr w:type="gramEnd"/>
            <w:r w:rsidRPr="00E12560">
              <w:rPr>
                <w:rFonts w:ascii="Arial" w:hAnsi="Arial" w:cs="Arial"/>
                <w:sz w:val="28"/>
                <w:szCs w:val="28"/>
              </w:rPr>
              <w:t>/A maddeleri kapsamında yapılacak finansal kiralama (leasing) sözleşmeleri</w:t>
            </w:r>
            <w:bookmarkEnd w:id="10"/>
            <w:r w:rsidRPr="00E12560">
              <w:rPr>
                <w:rFonts w:ascii="Arial" w:hAnsi="Arial" w:cs="Arial"/>
                <w:sz w:val="28"/>
                <w:szCs w:val="28"/>
              </w:rPr>
              <w:t xml:space="preserve"> </w:t>
            </w:r>
          </w:p>
        </w:tc>
      </w:tr>
      <w:tr w:rsidR="00FA0ABD" w:rsidRPr="00C07F21" w:rsidTr="00FA0ABD">
        <w:tc>
          <w:tcPr>
            <w:tcW w:w="9990" w:type="dxa"/>
          </w:tcPr>
          <w:p w:rsidR="00FA0ABD" w:rsidRPr="00E12560" w:rsidRDefault="00FA0ABD" w:rsidP="00E12560">
            <w:pPr>
              <w:pStyle w:val="AralkYok"/>
              <w:spacing w:line="360" w:lineRule="auto"/>
              <w:jc w:val="both"/>
              <w:rPr>
                <w:rFonts w:ascii="Arial" w:hAnsi="Arial" w:cs="Arial"/>
                <w:sz w:val="24"/>
                <w:szCs w:val="24"/>
              </w:rPr>
            </w:pPr>
            <w:r w:rsidRPr="00E12560">
              <w:rPr>
                <w:rFonts w:ascii="Arial" w:hAnsi="Arial" w:cs="Arial"/>
                <w:sz w:val="24"/>
                <w:szCs w:val="24"/>
              </w:rPr>
              <w:t xml:space="preserve">Türk Parası Kıymetini Koruma Hakkında 32 Sayılı Kararın </w:t>
            </w:r>
            <w:r w:rsidRPr="00E12560">
              <w:rPr>
                <w:rFonts w:ascii="Arial" w:hAnsi="Arial" w:cs="Arial"/>
                <w:b/>
                <w:sz w:val="24"/>
                <w:szCs w:val="24"/>
              </w:rPr>
              <w:t>yurt dışından temin edilen kredilere ilişkin 17</w:t>
            </w:r>
            <w:r w:rsidRPr="00E12560">
              <w:rPr>
                <w:rFonts w:ascii="Arial" w:hAnsi="Arial" w:cs="Arial"/>
                <w:sz w:val="24"/>
                <w:szCs w:val="24"/>
              </w:rPr>
              <w:t xml:space="preserve"> ve </w:t>
            </w:r>
            <w:r w:rsidRPr="00E12560">
              <w:rPr>
                <w:rFonts w:ascii="Arial" w:hAnsi="Arial" w:cs="Arial"/>
                <w:b/>
                <w:sz w:val="24"/>
                <w:szCs w:val="24"/>
              </w:rPr>
              <w:t xml:space="preserve">yurt içinden temin edilen kredilere </w:t>
            </w:r>
            <w:proofErr w:type="gramStart"/>
            <w:r w:rsidRPr="00E12560">
              <w:rPr>
                <w:rFonts w:ascii="Arial" w:hAnsi="Arial" w:cs="Arial"/>
                <w:b/>
                <w:sz w:val="24"/>
                <w:szCs w:val="24"/>
              </w:rPr>
              <w:t>ilişkin  17</w:t>
            </w:r>
            <w:proofErr w:type="gramEnd"/>
            <w:r w:rsidRPr="00E12560">
              <w:rPr>
                <w:rFonts w:ascii="Arial" w:hAnsi="Arial" w:cs="Arial"/>
                <w:b/>
                <w:sz w:val="24"/>
                <w:szCs w:val="24"/>
              </w:rPr>
              <w:t xml:space="preserve">/A </w:t>
            </w:r>
            <w:r w:rsidRPr="00E12560">
              <w:rPr>
                <w:rFonts w:ascii="Arial" w:hAnsi="Arial" w:cs="Arial"/>
                <w:sz w:val="24"/>
                <w:szCs w:val="24"/>
              </w:rPr>
              <w:t xml:space="preserve">maddeleri kapsamında yapılacak finansal kiralama (leasing) sözleşmelerine ilişkin bedellerin döviz cinsinden kararlaştırılması mümkündür. </w:t>
            </w:r>
          </w:p>
        </w:tc>
      </w:tr>
      <w:tr w:rsidR="00FA0ABD" w:rsidRPr="00C07F21" w:rsidTr="00FA0ABD">
        <w:tc>
          <w:tcPr>
            <w:tcW w:w="9990" w:type="dxa"/>
          </w:tcPr>
          <w:p w:rsidR="00FA0ABD" w:rsidRPr="00E12560" w:rsidRDefault="00FA0ABD" w:rsidP="00FA0ABD">
            <w:pPr>
              <w:pStyle w:val="Balk1"/>
              <w:numPr>
                <w:ilvl w:val="0"/>
                <w:numId w:val="35"/>
              </w:numPr>
              <w:spacing w:after="240" w:line="240" w:lineRule="auto"/>
              <w:jc w:val="both"/>
              <w:rPr>
                <w:rFonts w:ascii="Arial" w:hAnsi="Arial" w:cs="Arial"/>
                <w:sz w:val="28"/>
                <w:szCs w:val="28"/>
              </w:rPr>
            </w:pPr>
            <w:bookmarkStart w:id="11" w:name="_Toc526856022"/>
            <w:r w:rsidRPr="00E12560">
              <w:rPr>
                <w:rFonts w:ascii="Arial" w:hAnsi="Arial" w:cs="Arial"/>
                <w:sz w:val="28"/>
                <w:szCs w:val="28"/>
              </w:rPr>
              <w:t>Türkiye’de yerleşik kişilerin taraf olduğu iş sözleşmeleri</w:t>
            </w:r>
            <w:bookmarkEnd w:id="11"/>
          </w:p>
        </w:tc>
      </w:tr>
      <w:tr w:rsidR="00FA0ABD" w:rsidRPr="00C07F21" w:rsidTr="00FA0ABD">
        <w:tc>
          <w:tcPr>
            <w:tcW w:w="9990" w:type="dxa"/>
          </w:tcPr>
          <w:p w:rsidR="00FA0ABD" w:rsidRPr="00E12560" w:rsidRDefault="00FA0ABD" w:rsidP="00573695">
            <w:pPr>
              <w:pStyle w:val="AralkYok"/>
              <w:spacing w:line="360" w:lineRule="auto"/>
              <w:jc w:val="both"/>
              <w:rPr>
                <w:rFonts w:ascii="Arial" w:hAnsi="Arial" w:cs="Arial"/>
                <w:sz w:val="24"/>
                <w:szCs w:val="24"/>
              </w:rPr>
            </w:pPr>
            <w:r w:rsidRPr="00E12560">
              <w:rPr>
                <w:rFonts w:ascii="Arial" w:hAnsi="Arial" w:cs="Arial"/>
                <w:sz w:val="24"/>
                <w:szCs w:val="24"/>
              </w:rPr>
              <w:t>Türkiye Cumhuriyeti Devleti ile vatandaşlık bağı bulunmayan Türkiye’de yerleşik kişilerin taraf olduğu iş sözleşmelerinde, sözleşme bedelinin ve bu sözleşmelerden kaynaklanan diğer ödeme yükümlülüklerinin döviz cinsinden veya dövize endeksli olarak kararlaştırılması mümkündür.</w:t>
            </w:r>
          </w:p>
        </w:tc>
      </w:tr>
      <w:tr w:rsidR="00FA0ABD" w:rsidRPr="00C07F21" w:rsidTr="00FA0ABD">
        <w:tc>
          <w:tcPr>
            <w:tcW w:w="9990" w:type="dxa"/>
          </w:tcPr>
          <w:p w:rsidR="00FA0ABD" w:rsidRPr="00E12560" w:rsidRDefault="00FA0ABD" w:rsidP="00FA0ABD">
            <w:pPr>
              <w:pStyle w:val="Balk1"/>
              <w:numPr>
                <w:ilvl w:val="0"/>
                <w:numId w:val="35"/>
              </w:numPr>
              <w:spacing w:after="240" w:line="240" w:lineRule="auto"/>
              <w:jc w:val="both"/>
              <w:rPr>
                <w:rFonts w:ascii="Arial" w:hAnsi="Arial" w:cs="Arial"/>
                <w:sz w:val="28"/>
                <w:szCs w:val="28"/>
              </w:rPr>
            </w:pPr>
            <w:bookmarkStart w:id="12" w:name="_Toc526856023"/>
            <w:r w:rsidRPr="00E12560">
              <w:rPr>
                <w:rFonts w:ascii="Arial" w:hAnsi="Arial" w:cs="Arial"/>
                <w:sz w:val="28"/>
                <w:szCs w:val="28"/>
              </w:rPr>
              <w:t>Kamu kurum ve kuruluşları ile Türk Silahlı Kuvvetlerini Güçlendirme Vakfı şirketlerinin taraf olduğu gayrimenkul satış ve gayrimenkul kiralama dışında kalan sözleşmeler</w:t>
            </w:r>
            <w:bookmarkEnd w:id="12"/>
          </w:p>
        </w:tc>
      </w:tr>
      <w:tr w:rsidR="00FA0ABD" w:rsidRPr="00C07F21" w:rsidTr="00FA0ABD">
        <w:tc>
          <w:tcPr>
            <w:tcW w:w="9990" w:type="dxa"/>
          </w:tcPr>
          <w:p w:rsidR="00FA0ABD" w:rsidRPr="00E12560" w:rsidRDefault="00FA0ABD" w:rsidP="00573695">
            <w:pPr>
              <w:pStyle w:val="AralkYok"/>
              <w:spacing w:line="360" w:lineRule="auto"/>
              <w:jc w:val="both"/>
              <w:rPr>
                <w:rFonts w:ascii="Arial" w:hAnsi="Arial" w:cs="Arial"/>
                <w:sz w:val="24"/>
                <w:szCs w:val="24"/>
              </w:rPr>
            </w:pPr>
            <w:r w:rsidRPr="00E12560">
              <w:rPr>
                <w:rFonts w:ascii="Arial" w:hAnsi="Arial" w:cs="Arial"/>
                <w:sz w:val="24"/>
                <w:szCs w:val="24"/>
              </w:rPr>
              <w:t>Kamu kurum ve kuruluşları ile Türk Silahlı Kuvvetlerini Güçlendirme Vakfı şirketlerinin taraf olduğu gayrimenkul satış ve gayrimenkul kiralama dışında kalan sözleşmelerde, sözleşme bedelinin ve bu sözleşmelerden kaynaklanan diğer ödeme yükümlülüklerin döviz cinsinden veya dövize endeksli olarak kararlaştırılması mümkündür.</w:t>
            </w:r>
          </w:p>
        </w:tc>
      </w:tr>
      <w:tr w:rsidR="00FA0ABD" w:rsidRPr="00C07F21" w:rsidTr="00FA0ABD">
        <w:tc>
          <w:tcPr>
            <w:tcW w:w="9990" w:type="dxa"/>
          </w:tcPr>
          <w:p w:rsidR="00FA0ABD" w:rsidRPr="00E12560" w:rsidRDefault="00FA0ABD" w:rsidP="00FA0ABD">
            <w:pPr>
              <w:pStyle w:val="Balk1"/>
              <w:numPr>
                <w:ilvl w:val="0"/>
                <w:numId w:val="35"/>
              </w:numPr>
              <w:spacing w:after="240" w:line="240" w:lineRule="auto"/>
              <w:jc w:val="both"/>
              <w:rPr>
                <w:rFonts w:ascii="Arial" w:hAnsi="Arial" w:cs="Arial"/>
                <w:sz w:val="28"/>
                <w:szCs w:val="28"/>
              </w:rPr>
            </w:pPr>
            <w:bookmarkStart w:id="13" w:name="_Toc526856024"/>
            <w:r w:rsidRPr="00E12560">
              <w:rPr>
                <w:rFonts w:ascii="Arial" w:hAnsi="Arial" w:cs="Arial"/>
                <w:sz w:val="28"/>
                <w:szCs w:val="28"/>
              </w:rPr>
              <w:t xml:space="preserve">Kamu kurum ve kuruluşlarının taraf olduğu döviz cinsinden veya dövize endeksli ihaleler, sözleşmeler ve milletlerarası </w:t>
            </w:r>
            <w:proofErr w:type="spellStart"/>
            <w:r w:rsidRPr="00E12560">
              <w:rPr>
                <w:rFonts w:ascii="Arial" w:hAnsi="Arial" w:cs="Arial"/>
                <w:sz w:val="28"/>
                <w:szCs w:val="28"/>
              </w:rPr>
              <w:t>andlaşmaların</w:t>
            </w:r>
            <w:proofErr w:type="spellEnd"/>
            <w:r w:rsidRPr="00E12560">
              <w:rPr>
                <w:rFonts w:ascii="Arial" w:hAnsi="Arial" w:cs="Arial"/>
                <w:sz w:val="28"/>
                <w:szCs w:val="28"/>
              </w:rPr>
              <w:t xml:space="preserve"> ifası kapsamında olmak kaydıyla; yüklenicilerin üçüncü taraflarla akdedeceği gayrimenkul satış, gayrimenkul kiralama ve iş sözleşmeleri dışında kalan sözleşmeler</w:t>
            </w:r>
            <w:bookmarkEnd w:id="13"/>
          </w:p>
        </w:tc>
      </w:tr>
      <w:tr w:rsidR="00FA0ABD" w:rsidRPr="00C07F21" w:rsidTr="00FA0ABD">
        <w:tc>
          <w:tcPr>
            <w:tcW w:w="9990" w:type="dxa"/>
          </w:tcPr>
          <w:p w:rsidR="00FA0ABD" w:rsidRPr="00E12560" w:rsidRDefault="00FA0ABD" w:rsidP="00573695">
            <w:pPr>
              <w:pStyle w:val="AralkYok"/>
              <w:spacing w:line="360" w:lineRule="auto"/>
              <w:jc w:val="both"/>
              <w:rPr>
                <w:rFonts w:ascii="Arial" w:hAnsi="Arial" w:cs="Arial"/>
                <w:sz w:val="24"/>
                <w:szCs w:val="24"/>
              </w:rPr>
            </w:pPr>
            <w:proofErr w:type="gramStart"/>
            <w:r w:rsidRPr="00E12560">
              <w:rPr>
                <w:rFonts w:ascii="Arial" w:hAnsi="Arial" w:cs="Arial"/>
                <w:sz w:val="24"/>
                <w:szCs w:val="24"/>
              </w:rPr>
              <w:t xml:space="preserve">Kamu kurum ve kuruluşlarının taraf olduğu döviz cinsinden veya dövize endeksli ihaleler, sözleşmeler ve milletlerarası </w:t>
            </w:r>
            <w:proofErr w:type="spellStart"/>
            <w:r w:rsidRPr="00E12560">
              <w:rPr>
                <w:rFonts w:ascii="Arial" w:hAnsi="Arial" w:cs="Arial"/>
                <w:sz w:val="24"/>
                <w:szCs w:val="24"/>
              </w:rPr>
              <w:t>andlaşmaların</w:t>
            </w:r>
            <w:proofErr w:type="spellEnd"/>
            <w:r w:rsidRPr="00E12560">
              <w:rPr>
                <w:rFonts w:ascii="Arial" w:hAnsi="Arial" w:cs="Arial"/>
                <w:sz w:val="24"/>
                <w:szCs w:val="24"/>
              </w:rPr>
              <w:t xml:space="preserve"> ifası kapsamında olmak kaydıyla; yüklenicilerin üçüncü taraflarla akdedeceği gayrimenkul satış, gayrimenkul kiralama ve iş sözleşmeleri dışında kalan sözleşmelerde, sözleşme bedelinin ve bu sözleşmelerden kaynaklanan diğer ödeme yükümlülüklerin döviz cinsinden veya dövize endeksli olarak kararlaştırılması mümkündür.</w:t>
            </w:r>
            <w:proofErr w:type="gramEnd"/>
          </w:p>
        </w:tc>
      </w:tr>
      <w:tr w:rsidR="00FA0ABD" w:rsidRPr="00C07F21" w:rsidTr="00FA0ABD">
        <w:tc>
          <w:tcPr>
            <w:tcW w:w="9990" w:type="dxa"/>
          </w:tcPr>
          <w:p w:rsidR="00FA0ABD" w:rsidRPr="00E12560" w:rsidRDefault="00FA0ABD" w:rsidP="00FA0ABD">
            <w:pPr>
              <w:pStyle w:val="Balk1"/>
              <w:numPr>
                <w:ilvl w:val="0"/>
                <w:numId w:val="35"/>
              </w:numPr>
              <w:spacing w:after="240" w:line="240" w:lineRule="auto"/>
              <w:jc w:val="both"/>
              <w:rPr>
                <w:rFonts w:ascii="Arial" w:hAnsi="Arial" w:cs="Arial"/>
                <w:sz w:val="28"/>
                <w:szCs w:val="28"/>
              </w:rPr>
            </w:pPr>
            <w:bookmarkStart w:id="14" w:name="_Toc526856025"/>
            <w:r w:rsidRPr="00E12560">
              <w:rPr>
                <w:rFonts w:ascii="Arial" w:hAnsi="Arial" w:cs="Arial"/>
                <w:sz w:val="28"/>
                <w:szCs w:val="28"/>
              </w:rPr>
              <w:t xml:space="preserve">Hazine ve Maliye Bakanlığının </w:t>
            </w:r>
            <w:proofErr w:type="gramStart"/>
            <w:r w:rsidRPr="00E12560">
              <w:rPr>
                <w:rFonts w:ascii="Arial" w:hAnsi="Arial" w:cs="Arial"/>
                <w:sz w:val="28"/>
                <w:szCs w:val="28"/>
              </w:rPr>
              <w:t>28/3/2002</w:t>
            </w:r>
            <w:proofErr w:type="gramEnd"/>
            <w:r w:rsidRPr="00E12560">
              <w:rPr>
                <w:rFonts w:ascii="Arial" w:hAnsi="Arial" w:cs="Arial"/>
                <w:sz w:val="28"/>
                <w:szCs w:val="28"/>
              </w:rPr>
              <w:t xml:space="preserve"> tarihli ve 4749 sayılı Kamu Finansmanı ve Borç Yönetiminin Düzenlenmesi Hakkında Kanun kapsamında gerçekleştirdiği işlemlerle ilgili olarak bankaların taraf olduğu sözleşmeler</w:t>
            </w:r>
            <w:bookmarkEnd w:id="14"/>
          </w:p>
        </w:tc>
      </w:tr>
      <w:tr w:rsidR="00FA0ABD" w:rsidRPr="00C07F21" w:rsidTr="00FA0ABD">
        <w:tc>
          <w:tcPr>
            <w:tcW w:w="9990" w:type="dxa"/>
          </w:tcPr>
          <w:p w:rsidR="00FA0ABD" w:rsidRPr="00E12560" w:rsidRDefault="00FA0ABD" w:rsidP="00573695">
            <w:pPr>
              <w:pStyle w:val="AralkYok"/>
              <w:spacing w:line="360" w:lineRule="auto"/>
              <w:jc w:val="both"/>
              <w:rPr>
                <w:rFonts w:ascii="Arial" w:hAnsi="Arial" w:cs="Arial"/>
                <w:sz w:val="24"/>
                <w:szCs w:val="24"/>
              </w:rPr>
            </w:pPr>
            <w:r w:rsidRPr="00E12560">
              <w:rPr>
                <w:rFonts w:ascii="Arial" w:hAnsi="Arial" w:cs="Arial"/>
                <w:sz w:val="24"/>
                <w:szCs w:val="24"/>
              </w:rPr>
              <w:t xml:space="preserve">Hazine ve Maliye Bakanlığının </w:t>
            </w:r>
            <w:proofErr w:type="gramStart"/>
            <w:r w:rsidRPr="00E12560">
              <w:rPr>
                <w:rFonts w:ascii="Arial" w:hAnsi="Arial" w:cs="Arial"/>
                <w:sz w:val="24"/>
                <w:szCs w:val="24"/>
              </w:rPr>
              <w:t>28/3/2002</w:t>
            </w:r>
            <w:proofErr w:type="gramEnd"/>
            <w:r w:rsidRPr="00E12560">
              <w:rPr>
                <w:rFonts w:ascii="Arial" w:hAnsi="Arial" w:cs="Arial"/>
                <w:sz w:val="24"/>
                <w:szCs w:val="24"/>
              </w:rPr>
              <w:t xml:space="preserve"> tarihli ve 4749 sayılı Kamu Finansmanı ve Borç Yönetiminin Düzenlenmesi Hakkında Kanun kapsamında gerçekleştirdiği işlemlerle ilgili olarak bankaların taraf olduğu sözleşmelerde, sözleşme bedelinin ve bu sözleşmelerden kaynaklanan diğer ödeme yükümlülüklerin döviz cinsinden veya dövize endeksli olarak kararlaştırılması mümkündür.</w:t>
            </w:r>
          </w:p>
        </w:tc>
      </w:tr>
      <w:tr w:rsidR="00FA0ABD" w:rsidRPr="00C07F21" w:rsidTr="00FA0ABD">
        <w:tc>
          <w:tcPr>
            <w:tcW w:w="9990" w:type="dxa"/>
          </w:tcPr>
          <w:p w:rsidR="00FA0ABD" w:rsidRPr="00E12560" w:rsidRDefault="00FA0ABD" w:rsidP="00FA0ABD">
            <w:pPr>
              <w:pStyle w:val="Balk1"/>
              <w:numPr>
                <w:ilvl w:val="0"/>
                <w:numId w:val="35"/>
              </w:numPr>
              <w:spacing w:after="240" w:line="240" w:lineRule="auto"/>
              <w:jc w:val="both"/>
              <w:rPr>
                <w:rFonts w:ascii="Arial" w:hAnsi="Arial" w:cs="Arial"/>
                <w:sz w:val="28"/>
                <w:szCs w:val="28"/>
              </w:rPr>
            </w:pPr>
            <w:bookmarkStart w:id="15" w:name="_Toc526856026"/>
            <w:r w:rsidRPr="00E12560">
              <w:rPr>
                <w:rFonts w:ascii="Arial" w:hAnsi="Arial" w:cs="Arial"/>
                <w:sz w:val="28"/>
                <w:szCs w:val="28"/>
              </w:rPr>
              <w:t>6362 sayılı Sermaye Piyasası Kanunu ile bu Kanuna dayalı olarak yapılan düzenlemeler çerçevesinde sermaye piyasası araçları işlemleri</w:t>
            </w:r>
            <w:bookmarkEnd w:id="15"/>
            <w:r w:rsidRPr="00E12560">
              <w:rPr>
                <w:rFonts w:ascii="Arial" w:hAnsi="Arial" w:cs="Arial"/>
                <w:sz w:val="28"/>
                <w:szCs w:val="28"/>
              </w:rPr>
              <w:t xml:space="preserve"> </w:t>
            </w:r>
          </w:p>
        </w:tc>
      </w:tr>
      <w:tr w:rsidR="00FA0ABD" w:rsidRPr="00C07F21" w:rsidTr="00FA0ABD">
        <w:tc>
          <w:tcPr>
            <w:tcW w:w="9990" w:type="dxa"/>
          </w:tcPr>
          <w:p w:rsidR="00FA0ABD" w:rsidRPr="00E12560" w:rsidRDefault="00FA0ABD" w:rsidP="00573695">
            <w:pPr>
              <w:pStyle w:val="AralkYok"/>
              <w:spacing w:line="360" w:lineRule="auto"/>
              <w:jc w:val="both"/>
              <w:rPr>
                <w:rFonts w:ascii="Arial" w:hAnsi="Arial" w:cs="Arial"/>
                <w:sz w:val="24"/>
                <w:szCs w:val="24"/>
              </w:rPr>
            </w:pPr>
            <w:r w:rsidRPr="00E12560">
              <w:rPr>
                <w:rFonts w:ascii="Arial" w:hAnsi="Arial" w:cs="Arial"/>
                <w:sz w:val="24"/>
                <w:szCs w:val="24"/>
              </w:rPr>
              <w:t xml:space="preserve">Türk Parası Kıymetini Koruma Hakkında 32 Sayılı Karar hükümleri saklı kalmak kaydıyla, 6362 sayılı Sermaye Piyasası Kanunu ile bu Kanuna dayalı olarak yapılan düzenlemeler çerçevesinde sermaye piyasası araçlarının (yabancı sermaye piyasası araçları ve depo sertifikaları ile yabancı yatırım fonu payları da </w:t>
            </w:r>
            <w:proofErr w:type="gramStart"/>
            <w:r w:rsidRPr="00E12560">
              <w:rPr>
                <w:rFonts w:ascii="Arial" w:hAnsi="Arial" w:cs="Arial"/>
                <w:sz w:val="24"/>
                <w:szCs w:val="24"/>
              </w:rPr>
              <w:t>dahil</w:t>
            </w:r>
            <w:proofErr w:type="gramEnd"/>
            <w:r w:rsidRPr="00E12560">
              <w:rPr>
                <w:rFonts w:ascii="Arial" w:hAnsi="Arial" w:cs="Arial"/>
                <w:sz w:val="24"/>
                <w:szCs w:val="24"/>
              </w:rPr>
              <w:t xml:space="preserve"> olmak üzere) döviz cinsinden oluşturulması, ihracı, alım satımı ve yapılan işlemlere ilişkin yükümlülüklerin döviz cinsinden kararlaştırılması mümkündür.</w:t>
            </w:r>
          </w:p>
        </w:tc>
      </w:tr>
      <w:tr w:rsidR="00FA0ABD" w:rsidRPr="00C07F21" w:rsidTr="00FA0ABD">
        <w:tc>
          <w:tcPr>
            <w:tcW w:w="9990" w:type="dxa"/>
          </w:tcPr>
          <w:p w:rsidR="00FA0ABD" w:rsidRPr="00E12560" w:rsidRDefault="00FA0ABD" w:rsidP="00FA0ABD">
            <w:pPr>
              <w:pStyle w:val="Balk1"/>
              <w:numPr>
                <w:ilvl w:val="0"/>
                <w:numId w:val="35"/>
              </w:numPr>
              <w:spacing w:after="240" w:line="240" w:lineRule="auto"/>
              <w:jc w:val="both"/>
              <w:rPr>
                <w:rFonts w:ascii="Arial" w:hAnsi="Arial" w:cs="Arial"/>
                <w:sz w:val="28"/>
                <w:szCs w:val="28"/>
              </w:rPr>
            </w:pPr>
            <w:bookmarkStart w:id="16" w:name="_Toc526856027"/>
            <w:r w:rsidRPr="00E12560">
              <w:rPr>
                <w:rFonts w:ascii="Arial" w:hAnsi="Arial" w:cs="Arial"/>
                <w:sz w:val="28"/>
                <w:szCs w:val="28"/>
              </w:rPr>
              <w:t>Dışarıda yerleşik kişilerin Türkiye’de bulunan; şube, temsilcilik, ofis, irtibat bürosu, doğrudan veya dolaylı olarak yüzde elli ve üzerinde pay sahipliklerinin bulunduğu şirketler ile serbest bölgedeki faaliyetleri kapsamında serbest bölgelerdeki şirketlerin taraf olduğu iş ve hizmet sözleşmeleri</w:t>
            </w:r>
            <w:bookmarkEnd w:id="16"/>
            <w:r w:rsidRPr="00E12560">
              <w:rPr>
                <w:rFonts w:ascii="Arial" w:hAnsi="Arial" w:cs="Arial"/>
                <w:sz w:val="28"/>
                <w:szCs w:val="28"/>
              </w:rPr>
              <w:t xml:space="preserve"> </w:t>
            </w:r>
          </w:p>
        </w:tc>
      </w:tr>
      <w:tr w:rsidR="00FA0ABD" w:rsidRPr="00C07F21" w:rsidTr="00FA0ABD">
        <w:tc>
          <w:tcPr>
            <w:tcW w:w="9990" w:type="dxa"/>
          </w:tcPr>
          <w:p w:rsidR="00FA0ABD" w:rsidRPr="00E12560" w:rsidRDefault="00FA0ABD" w:rsidP="00573695">
            <w:pPr>
              <w:pStyle w:val="AralkYok"/>
              <w:spacing w:line="360" w:lineRule="auto"/>
              <w:jc w:val="both"/>
              <w:rPr>
                <w:rFonts w:ascii="Arial" w:hAnsi="Arial" w:cs="Arial"/>
                <w:sz w:val="24"/>
                <w:szCs w:val="24"/>
              </w:rPr>
            </w:pPr>
            <w:r w:rsidRPr="00E12560">
              <w:rPr>
                <w:rFonts w:ascii="Arial" w:hAnsi="Arial" w:cs="Arial"/>
                <w:sz w:val="24"/>
                <w:szCs w:val="24"/>
                <w:u w:val="single"/>
              </w:rPr>
              <w:t>Dışarıda yerleşik kişilerin</w:t>
            </w:r>
            <w:r w:rsidRPr="00E12560">
              <w:rPr>
                <w:rFonts w:ascii="Arial" w:hAnsi="Arial" w:cs="Arial"/>
                <w:sz w:val="24"/>
                <w:szCs w:val="24"/>
              </w:rPr>
              <w:t xml:space="preserve"> Türkiye’de bulunan; şube, temsilcilik, ofis, irtibat bürosu, doğrudan veya dolaylı olarak yüzde elli ve üzerinde pay sahipliklerinin bulunduğu şirketler ile serbest bölgedeki faaliyetleri kapsamında serbest bölgelerdeki </w:t>
            </w:r>
            <w:proofErr w:type="gramStart"/>
            <w:r w:rsidRPr="00E12560">
              <w:rPr>
                <w:rFonts w:ascii="Arial" w:hAnsi="Arial" w:cs="Arial"/>
                <w:sz w:val="24"/>
                <w:szCs w:val="24"/>
              </w:rPr>
              <w:t>şirketlerin  taraf</w:t>
            </w:r>
            <w:proofErr w:type="gramEnd"/>
            <w:r w:rsidRPr="00E12560">
              <w:rPr>
                <w:rFonts w:ascii="Arial" w:hAnsi="Arial" w:cs="Arial"/>
                <w:sz w:val="24"/>
                <w:szCs w:val="24"/>
              </w:rPr>
              <w:t xml:space="preserve"> olduğu iş ve hizmet sözleşmelerinde, sözleşme bedelinin ve bu sözleşmelerden kaynaklanan diğer ödeme yükümlülüklerinin döviz cinsinden veya dövize endeksli olarak kararlaştırılması mümkündür.</w:t>
            </w:r>
          </w:p>
        </w:tc>
      </w:tr>
      <w:tr w:rsidR="00FA0ABD" w:rsidRPr="00C07F21" w:rsidTr="00FA0ABD">
        <w:tc>
          <w:tcPr>
            <w:tcW w:w="9990" w:type="dxa"/>
          </w:tcPr>
          <w:p w:rsidR="00FA0ABD" w:rsidRPr="00E12560" w:rsidRDefault="00FA0ABD" w:rsidP="00FA0ABD">
            <w:pPr>
              <w:pStyle w:val="Balk1"/>
              <w:numPr>
                <w:ilvl w:val="0"/>
                <w:numId w:val="35"/>
              </w:numPr>
              <w:spacing w:after="240" w:line="240" w:lineRule="auto"/>
              <w:jc w:val="both"/>
              <w:rPr>
                <w:rFonts w:ascii="Arial" w:hAnsi="Arial" w:cs="Arial"/>
                <w:sz w:val="28"/>
                <w:szCs w:val="28"/>
              </w:rPr>
            </w:pPr>
            <w:r w:rsidRPr="00E12560">
              <w:rPr>
                <w:rFonts w:ascii="Arial" w:hAnsi="Arial" w:cs="Arial"/>
                <w:sz w:val="28"/>
                <w:szCs w:val="28"/>
              </w:rPr>
              <w:t xml:space="preserve"> </w:t>
            </w:r>
            <w:bookmarkStart w:id="17" w:name="_Toc526856028"/>
            <w:r w:rsidRPr="00E12560">
              <w:rPr>
                <w:rFonts w:ascii="Arial" w:hAnsi="Arial" w:cs="Arial"/>
                <w:sz w:val="28"/>
                <w:szCs w:val="28"/>
              </w:rPr>
              <w:t>Yolcu, yük veya posta taşıma faaliyetinde bulunan ticari havayolu işletmeleri ile ilgili diğer bazı işletmelerin Türkiye’de yerleşik kişilerle döviz cinsinden veya dövize endeksli bedeller içeren gayrimenkul satış, gayrimenkul kiralama ve iş sözleşmeleri haricindeki sözleşmeleri</w:t>
            </w:r>
            <w:bookmarkEnd w:id="17"/>
          </w:p>
        </w:tc>
      </w:tr>
      <w:tr w:rsidR="00FA0ABD" w:rsidRPr="00C07F21" w:rsidTr="00FA0ABD">
        <w:tc>
          <w:tcPr>
            <w:tcW w:w="9990" w:type="dxa"/>
          </w:tcPr>
          <w:p w:rsidR="00FA0ABD" w:rsidRPr="00E12560" w:rsidRDefault="00FA0ABD" w:rsidP="00573695">
            <w:pPr>
              <w:pStyle w:val="AralkYok"/>
              <w:spacing w:line="360" w:lineRule="auto"/>
              <w:jc w:val="both"/>
              <w:rPr>
                <w:rFonts w:ascii="Arial" w:hAnsi="Arial" w:cs="Arial"/>
                <w:sz w:val="24"/>
                <w:szCs w:val="24"/>
              </w:rPr>
            </w:pPr>
            <w:proofErr w:type="gramStart"/>
            <w:r w:rsidRPr="00E12560">
              <w:rPr>
                <w:rFonts w:ascii="Arial" w:hAnsi="Arial" w:cs="Arial"/>
                <w:sz w:val="24"/>
                <w:szCs w:val="24"/>
              </w:rPr>
              <w:t xml:space="preserve">Türkiye’de yerleşik yolcu, yük veya posta taşıma faaliyetinde bulunan ticari havayolu işletmeleri; hava taşıma araçlarına, motorlarına ve bunların aksam ve parçalarına yönelik teknik bakım hizmeti veren şirketler; sivil havacılık mevzuatı kapsamında havalimanlarında yer hizmetleri yapmak üzere çalışma ruhsatı alan veya yetkilendirilen kamu ya da özel hukuk tüzel kişiliği statüsündeki kuruluşlar ile söz konusu kuruluşların kurdukları işletme ve şirketler ile doğrudan veya dolaylı olarak sermayelerinde en az %50 hisse oranına sahip olduğu ortaklıkların Türkiye’de yerleşik kişilerle döviz cinsinden veya dövize endeksli bedeller içeren gayrimenkul satış, gayrimenkul kiralama ve iş sözleşmeleri haricindeki sözleşmeleri akdetmeleri mümkündür. </w:t>
            </w:r>
            <w:proofErr w:type="gramEnd"/>
          </w:p>
        </w:tc>
      </w:tr>
      <w:tr w:rsidR="00FA0ABD" w:rsidRPr="00C07F21" w:rsidTr="00FA0ABD">
        <w:tc>
          <w:tcPr>
            <w:tcW w:w="9990" w:type="dxa"/>
          </w:tcPr>
          <w:p w:rsidR="00FA0ABD" w:rsidRPr="00E12560" w:rsidRDefault="00FA0ABD" w:rsidP="00FA0ABD">
            <w:pPr>
              <w:pStyle w:val="Balk1"/>
              <w:numPr>
                <w:ilvl w:val="0"/>
                <w:numId w:val="35"/>
              </w:numPr>
              <w:spacing w:after="240" w:line="240" w:lineRule="auto"/>
              <w:jc w:val="both"/>
              <w:rPr>
                <w:rFonts w:ascii="Arial" w:hAnsi="Arial" w:cs="Arial"/>
                <w:b/>
                <w:sz w:val="24"/>
                <w:szCs w:val="24"/>
              </w:rPr>
            </w:pPr>
            <w:bookmarkStart w:id="18" w:name="_Toc526856029"/>
            <w:r w:rsidRPr="00E12560">
              <w:rPr>
                <w:rFonts w:ascii="Arial" w:hAnsi="Arial" w:cs="Arial"/>
                <w:sz w:val="28"/>
                <w:szCs w:val="28"/>
              </w:rPr>
              <w:t>Diğer ödeme yükümlülükleri</w:t>
            </w:r>
            <w:bookmarkEnd w:id="18"/>
          </w:p>
        </w:tc>
      </w:tr>
      <w:tr w:rsidR="00FA0ABD" w:rsidRPr="00C07F21" w:rsidTr="00FA0ABD">
        <w:tc>
          <w:tcPr>
            <w:tcW w:w="9990" w:type="dxa"/>
          </w:tcPr>
          <w:p w:rsidR="00FA0ABD" w:rsidRPr="00E12560" w:rsidRDefault="00FA0ABD" w:rsidP="00573695">
            <w:pPr>
              <w:pStyle w:val="AralkYok"/>
              <w:spacing w:line="360" w:lineRule="auto"/>
              <w:jc w:val="both"/>
              <w:rPr>
                <w:rFonts w:ascii="Arial" w:hAnsi="Arial" w:cs="Arial"/>
                <w:sz w:val="24"/>
                <w:szCs w:val="24"/>
              </w:rPr>
            </w:pPr>
            <w:r w:rsidRPr="00E12560">
              <w:rPr>
                <w:rFonts w:ascii="Arial" w:hAnsi="Arial" w:cs="Arial"/>
                <w:sz w:val="24"/>
                <w:szCs w:val="24"/>
              </w:rPr>
              <w:t>Bu madde uyarınca sözleşme bedeli ve bu sözleşmelerden kaynaklanan diğer ödeme yükümlülükleri döviz cinsinden veya dövize endeksli olarak kararlaştırılamayan sözleşmeler kapsamında düzenlenecek kıymetli evraklarda yer alan bedellerin döviz cinsinden veya dövize endeksli olarak belirlenmesi mümkün değildir.</w:t>
            </w:r>
          </w:p>
        </w:tc>
      </w:tr>
      <w:tr w:rsidR="00FA0ABD" w:rsidRPr="00C07F21" w:rsidTr="00FA0ABD">
        <w:tc>
          <w:tcPr>
            <w:tcW w:w="9990" w:type="dxa"/>
          </w:tcPr>
          <w:p w:rsidR="00FA0ABD" w:rsidRPr="00E12560" w:rsidRDefault="00FA0ABD" w:rsidP="00FA0ABD">
            <w:pPr>
              <w:pStyle w:val="Balk1"/>
              <w:numPr>
                <w:ilvl w:val="0"/>
                <w:numId w:val="35"/>
              </w:numPr>
              <w:spacing w:after="240" w:line="240" w:lineRule="auto"/>
              <w:jc w:val="both"/>
              <w:rPr>
                <w:rFonts w:ascii="Arial" w:hAnsi="Arial" w:cs="Arial"/>
                <w:sz w:val="28"/>
                <w:szCs w:val="28"/>
              </w:rPr>
            </w:pPr>
            <w:bookmarkStart w:id="19" w:name="_Toc526856030"/>
            <w:r w:rsidRPr="00E12560">
              <w:rPr>
                <w:rFonts w:ascii="Arial" w:hAnsi="Arial" w:cs="Arial"/>
                <w:sz w:val="28"/>
                <w:szCs w:val="28"/>
              </w:rPr>
              <w:t>Kıymetli madenlere ve/veya emtiaya endekslenen ve/veya dolaylı olarak dövize endekslenen sözleşmeler</w:t>
            </w:r>
            <w:bookmarkEnd w:id="19"/>
          </w:p>
        </w:tc>
      </w:tr>
      <w:tr w:rsidR="00FA0ABD" w:rsidRPr="00C07F21" w:rsidTr="00FA0ABD">
        <w:tc>
          <w:tcPr>
            <w:tcW w:w="9990" w:type="dxa"/>
          </w:tcPr>
          <w:p w:rsidR="00FA0ABD" w:rsidRPr="00E12560" w:rsidRDefault="00FA0ABD" w:rsidP="00573695">
            <w:pPr>
              <w:pStyle w:val="AralkYok"/>
              <w:spacing w:line="360" w:lineRule="auto"/>
              <w:jc w:val="both"/>
              <w:rPr>
                <w:rFonts w:ascii="Arial" w:hAnsi="Arial" w:cs="Arial"/>
                <w:sz w:val="24"/>
                <w:szCs w:val="24"/>
              </w:rPr>
            </w:pPr>
            <w:r w:rsidRPr="00E12560">
              <w:rPr>
                <w:rFonts w:ascii="Arial" w:hAnsi="Arial" w:cs="Arial"/>
                <w:sz w:val="24"/>
                <w:szCs w:val="24"/>
              </w:rPr>
              <w:t xml:space="preserve">Uluslararası piyasalarda fiyatı döviz cinsinden belirlenen kıymetli madenlere ve/veya emtiaya endekslenen ve/veya dolaylı olarak dövize endekslenen sözleşmeler, Türk Parası Kıymetini Koruma Hakkında 32 Sayılı Kararın 4 üncü maddesinin (g) bendi uygulaması kapsamında dövize endeksli sözleşme olarak değerlendirilir. </w:t>
            </w:r>
          </w:p>
        </w:tc>
      </w:tr>
      <w:tr w:rsidR="00FA0ABD" w:rsidRPr="00C07F21" w:rsidTr="00FA0ABD">
        <w:tc>
          <w:tcPr>
            <w:tcW w:w="9990" w:type="dxa"/>
          </w:tcPr>
          <w:p w:rsidR="00FA0ABD" w:rsidRPr="00E12560" w:rsidRDefault="00FA0ABD" w:rsidP="00FA0ABD">
            <w:pPr>
              <w:pStyle w:val="Balk1"/>
              <w:numPr>
                <w:ilvl w:val="0"/>
                <w:numId w:val="35"/>
              </w:numPr>
              <w:spacing w:after="240" w:line="240" w:lineRule="auto"/>
              <w:jc w:val="both"/>
              <w:rPr>
                <w:rFonts w:ascii="Arial" w:hAnsi="Arial" w:cs="Arial"/>
                <w:sz w:val="28"/>
                <w:szCs w:val="28"/>
              </w:rPr>
            </w:pPr>
            <w:bookmarkStart w:id="20" w:name="_Toc526856031"/>
            <w:r w:rsidRPr="00E12560">
              <w:rPr>
                <w:rFonts w:ascii="Arial" w:hAnsi="Arial" w:cs="Arial"/>
                <w:sz w:val="28"/>
                <w:szCs w:val="28"/>
              </w:rPr>
              <w:t>Türkiye’de yerleşik kişilerin yurt dışındaki; şube, temsilcilik, ofis, irtibat bürosu, işlettiği veya yönettiği fonlar, yüzde elli ve üzerinde pay sahipliklerinin bulunduğu şirketler ile doğrudan ya da dolaylı olarak sahipliklerinde bulunan şirketlerle ilgili işlemleri</w:t>
            </w:r>
            <w:bookmarkEnd w:id="20"/>
            <w:r w:rsidRPr="00E12560">
              <w:rPr>
                <w:rFonts w:ascii="Arial" w:hAnsi="Arial" w:cs="Arial"/>
                <w:sz w:val="28"/>
                <w:szCs w:val="28"/>
              </w:rPr>
              <w:t xml:space="preserve"> </w:t>
            </w:r>
          </w:p>
        </w:tc>
      </w:tr>
      <w:tr w:rsidR="00FA0ABD" w:rsidRPr="00C07F21" w:rsidTr="00FA0ABD">
        <w:tc>
          <w:tcPr>
            <w:tcW w:w="9990" w:type="dxa"/>
          </w:tcPr>
          <w:p w:rsidR="00FA0ABD" w:rsidRPr="00E12560" w:rsidRDefault="00FA0ABD" w:rsidP="00573695">
            <w:pPr>
              <w:pStyle w:val="AralkYok"/>
              <w:spacing w:line="360" w:lineRule="auto"/>
              <w:jc w:val="both"/>
              <w:rPr>
                <w:rFonts w:ascii="Arial" w:hAnsi="Arial" w:cs="Arial"/>
                <w:sz w:val="24"/>
                <w:szCs w:val="24"/>
              </w:rPr>
            </w:pPr>
            <w:proofErr w:type="gramStart"/>
            <w:r w:rsidRPr="00E12560">
              <w:rPr>
                <w:rFonts w:ascii="Arial" w:hAnsi="Arial" w:cs="Arial"/>
                <w:sz w:val="24"/>
                <w:szCs w:val="24"/>
              </w:rPr>
              <w:t>Türkiye’de yerleşik kişilerin yurt dışındaki; şube, temsilcilik, ofis, irtibat bürosu, işlettiği veya yönettiği fonlar, yüzde elli ve üzerinde pay sahipliklerinin bulunduğu şirketler ile doğrudan ya da dolaylı olarak sahipliklerinde bulunan şirketler Türk Parası Kıymetini Koruma Hakkında 32 Sayılı Kararın 4 üncü maddesinin (g) bendi</w:t>
            </w:r>
            <w:r w:rsidRPr="00E12560">
              <w:rPr>
                <w:rStyle w:val="DipnotBavurusu"/>
                <w:rFonts w:ascii="Arial" w:hAnsi="Arial" w:cs="Arial"/>
                <w:sz w:val="24"/>
                <w:szCs w:val="24"/>
              </w:rPr>
              <w:footnoteReference w:id="1"/>
            </w:r>
            <w:r w:rsidRPr="00E12560">
              <w:rPr>
                <w:rFonts w:ascii="Arial" w:hAnsi="Arial" w:cs="Arial"/>
                <w:sz w:val="24"/>
                <w:szCs w:val="24"/>
              </w:rPr>
              <w:t xml:space="preserve"> uygulaması kapsamında Türkiye’de yerleşik olarak değerlendirilir.</w:t>
            </w:r>
            <w:proofErr w:type="gramEnd"/>
          </w:p>
        </w:tc>
      </w:tr>
      <w:tr w:rsidR="00FA0ABD" w:rsidRPr="00C07F21" w:rsidTr="00FA0ABD">
        <w:tc>
          <w:tcPr>
            <w:tcW w:w="9990" w:type="dxa"/>
          </w:tcPr>
          <w:p w:rsidR="00FA0ABD" w:rsidRPr="00E12560" w:rsidRDefault="00FA0ABD" w:rsidP="00FA0ABD">
            <w:pPr>
              <w:pStyle w:val="Balk1"/>
              <w:numPr>
                <w:ilvl w:val="0"/>
                <w:numId w:val="35"/>
              </w:numPr>
              <w:spacing w:after="240" w:line="240" w:lineRule="auto"/>
              <w:jc w:val="both"/>
              <w:rPr>
                <w:rFonts w:ascii="Arial" w:hAnsi="Arial" w:cs="Arial"/>
                <w:sz w:val="28"/>
                <w:szCs w:val="28"/>
              </w:rPr>
            </w:pPr>
            <w:bookmarkStart w:id="21" w:name="_Toc526856032"/>
            <w:r w:rsidRPr="00E12560">
              <w:rPr>
                <w:rFonts w:ascii="Arial" w:hAnsi="Arial" w:cs="Arial"/>
                <w:sz w:val="28"/>
                <w:szCs w:val="28"/>
              </w:rPr>
              <w:t>Daha önce akdedilmiş sözleşmeler</w:t>
            </w:r>
            <w:bookmarkEnd w:id="21"/>
            <w:r w:rsidRPr="00E12560">
              <w:rPr>
                <w:rFonts w:ascii="Arial" w:hAnsi="Arial" w:cs="Arial"/>
                <w:sz w:val="28"/>
                <w:szCs w:val="28"/>
              </w:rPr>
              <w:t xml:space="preserve"> </w:t>
            </w:r>
          </w:p>
        </w:tc>
      </w:tr>
      <w:tr w:rsidR="00FA0ABD" w:rsidRPr="00C07F21" w:rsidTr="00FA0ABD">
        <w:tc>
          <w:tcPr>
            <w:tcW w:w="9990" w:type="dxa"/>
          </w:tcPr>
          <w:p w:rsidR="00FA0ABD" w:rsidRPr="00E12560" w:rsidRDefault="00FA0ABD" w:rsidP="00573695">
            <w:pPr>
              <w:pStyle w:val="AralkYok"/>
              <w:spacing w:line="360" w:lineRule="auto"/>
              <w:jc w:val="both"/>
              <w:rPr>
                <w:rFonts w:ascii="Arial" w:hAnsi="Arial" w:cs="Arial"/>
                <w:sz w:val="24"/>
                <w:szCs w:val="24"/>
              </w:rPr>
            </w:pPr>
            <w:r w:rsidRPr="00E12560">
              <w:rPr>
                <w:rFonts w:ascii="Arial" w:hAnsi="Arial" w:cs="Arial"/>
                <w:sz w:val="24"/>
                <w:szCs w:val="24"/>
              </w:rPr>
              <w:t xml:space="preserve">Bu madde uyarınca akdedilecek sözleşmelerde istisna kapsamına alınan, ancak Türk Parası Kıymetini Koruma Hakkında 32 Sayılı Kararın Geçici 8 inci maddesinin yürürlüğe girdiği tarihten önce akdedilmiş bulunan sözleşmeler de anılan geçici madde hükmünden istisnadır. </w:t>
            </w:r>
          </w:p>
        </w:tc>
      </w:tr>
      <w:tr w:rsidR="00FA0ABD" w:rsidRPr="00C07F21" w:rsidTr="00FA0ABD">
        <w:tc>
          <w:tcPr>
            <w:tcW w:w="9990" w:type="dxa"/>
          </w:tcPr>
          <w:p w:rsidR="00FA0ABD" w:rsidRPr="00E12560" w:rsidRDefault="00FA0ABD" w:rsidP="00FA0ABD">
            <w:pPr>
              <w:pStyle w:val="Balk1"/>
              <w:numPr>
                <w:ilvl w:val="0"/>
                <w:numId w:val="35"/>
              </w:numPr>
              <w:tabs>
                <w:tab w:val="left" w:pos="993"/>
              </w:tabs>
              <w:spacing w:after="240" w:line="240" w:lineRule="auto"/>
              <w:jc w:val="both"/>
              <w:rPr>
                <w:rFonts w:ascii="Arial" w:hAnsi="Arial" w:cs="Arial"/>
                <w:b/>
                <w:sz w:val="24"/>
                <w:szCs w:val="24"/>
              </w:rPr>
            </w:pPr>
            <w:bookmarkStart w:id="22" w:name="_Toc526856033"/>
            <w:r w:rsidRPr="00E12560">
              <w:rPr>
                <w:rFonts w:ascii="Arial" w:hAnsi="Arial" w:cs="Arial"/>
                <w:sz w:val="28"/>
                <w:szCs w:val="28"/>
              </w:rPr>
              <w:t>Daha önce akdedilmiş olan iş makineleri dâhil taşıt kiralama sözleşmeleri</w:t>
            </w:r>
            <w:bookmarkEnd w:id="22"/>
            <w:r w:rsidRPr="00E12560">
              <w:rPr>
                <w:rFonts w:ascii="Arial" w:hAnsi="Arial" w:cs="Arial"/>
                <w:sz w:val="28"/>
                <w:szCs w:val="28"/>
              </w:rPr>
              <w:t xml:space="preserve">  </w:t>
            </w:r>
          </w:p>
        </w:tc>
      </w:tr>
      <w:tr w:rsidR="00FA0ABD" w:rsidRPr="00C07F21" w:rsidTr="00FA0ABD">
        <w:tc>
          <w:tcPr>
            <w:tcW w:w="9990" w:type="dxa"/>
          </w:tcPr>
          <w:p w:rsidR="00FA0ABD" w:rsidRPr="00E12560" w:rsidRDefault="00FA0ABD" w:rsidP="00573695">
            <w:pPr>
              <w:pStyle w:val="AralkYok"/>
              <w:spacing w:line="360" w:lineRule="auto"/>
              <w:jc w:val="both"/>
              <w:rPr>
                <w:rFonts w:ascii="Arial" w:hAnsi="Arial" w:cs="Arial"/>
                <w:sz w:val="24"/>
                <w:szCs w:val="24"/>
              </w:rPr>
            </w:pPr>
            <w:r w:rsidRPr="00E12560">
              <w:rPr>
                <w:rFonts w:ascii="Arial" w:hAnsi="Arial" w:cs="Arial"/>
                <w:sz w:val="24"/>
                <w:szCs w:val="24"/>
              </w:rPr>
              <w:t>Türk Parası Kıymetini Koruma Hakkında 32 Sayılı Kararın Geçici 8 inci maddesinin yürürlüğe girdiği tarihten önce akdedilmiş bulunan iş makineleri dâhil taşıt kiralama sözleşmeleri geçici madde hükmünden istisnadır.</w:t>
            </w:r>
          </w:p>
        </w:tc>
      </w:tr>
      <w:tr w:rsidR="00FA0ABD" w:rsidRPr="00C07F21" w:rsidTr="00FA0ABD">
        <w:tc>
          <w:tcPr>
            <w:tcW w:w="9990" w:type="dxa"/>
          </w:tcPr>
          <w:p w:rsidR="00FA0ABD" w:rsidRPr="00E12560" w:rsidRDefault="00FA0ABD" w:rsidP="00FA0ABD">
            <w:pPr>
              <w:pStyle w:val="Balk1"/>
              <w:numPr>
                <w:ilvl w:val="0"/>
                <w:numId w:val="35"/>
              </w:numPr>
              <w:spacing w:after="240" w:line="240" w:lineRule="auto"/>
              <w:jc w:val="both"/>
              <w:rPr>
                <w:rFonts w:ascii="Arial" w:hAnsi="Arial" w:cs="Arial"/>
                <w:sz w:val="28"/>
                <w:szCs w:val="28"/>
              </w:rPr>
            </w:pPr>
            <w:bookmarkStart w:id="23" w:name="_Toc526856034"/>
            <w:r w:rsidRPr="00E12560">
              <w:rPr>
                <w:rFonts w:ascii="Arial" w:hAnsi="Arial" w:cs="Arial"/>
                <w:sz w:val="28"/>
                <w:szCs w:val="28"/>
              </w:rPr>
              <w:t>Ödeme yükümlülükleri döviz cinsinden veya dövize endeksli olarak kararlaştırılması mümkün olmayan sözleşmeler</w:t>
            </w:r>
            <w:bookmarkEnd w:id="23"/>
          </w:p>
        </w:tc>
      </w:tr>
      <w:tr w:rsidR="00FA0ABD" w:rsidRPr="00C07F21" w:rsidTr="00FA0ABD">
        <w:tc>
          <w:tcPr>
            <w:tcW w:w="9990" w:type="dxa"/>
          </w:tcPr>
          <w:p w:rsidR="00FA0ABD" w:rsidRPr="00E12560" w:rsidRDefault="00FA0ABD" w:rsidP="00573695">
            <w:pPr>
              <w:pStyle w:val="AralkYok"/>
              <w:spacing w:line="360" w:lineRule="auto"/>
              <w:jc w:val="both"/>
              <w:rPr>
                <w:rFonts w:ascii="Arial" w:hAnsi="Arial" w:cs="Arial"/>
                <w:b/>
                <w:sz w:val="24"/>
                <w:szCs w:val="24"/>
              </w:rPr>
            </w:pPr>
            <w:r w:rsidRPr="00E12560">
              <w:rPr>
                <w:rFonts w:ascii="Arial" w:hAnsi="Arial" w:cs="Arial"/>
                <w:sz w:val="24"/>
                <w:szCs w:val="24"/>
              </w:rPr>
              <w:t>Bu madde uyarınca sözleşme bedeli ve bu sözleşmelerden kaynaklanan diğer ödeme yükümlülükleri döviz cinsinden veya dövize endeksli olarak kararlaştırılması mümkün olmayan sözleşmelerde yer alan bedellerin Türk Parası Kıymetini Koruma Hakkında 32 Sayılı Kararın Geçici 8 inci maddesi kapsamında Türk parası olarak taraflarca yeniden belirlenmesi zorunludur.</w:t>
            </w:r>
            <w:r w:rsidRPr="00E12560">
              <w:rPr>
                <w:rFonts w:ascii="Arial" w:hAnsi="Arial" w:cs="Arial"/>
                <w:b/>
                <w:sz w:val="24"/>
                <w:szCs w:val="24"/>
              </w:rPr>
              <w:t xml:space="preserve"> </w:t>
            </w:r>
          </w:p>
        </w:tc>
      </w:tr>
      <w:tr w:rsidR="00FA0ABD" w:rsidRPr="00C07F21" w:rsidTr="00FA0ABD">
        <w:tc>
          <w:tcPr>
            <w:tcW w:w="9990" w:type="dxa"/>
          </w:tcPr>
          <w:p w:rsidR="00FA0ABD" w:rsidRPr="00E12560" w:rsidRDefault="00FA0ABD" w:rsidP="00FA0ABD">
            <w:pPr>
              <w:pStyle w:val="Balk1"/>
              <w:numPr>
                <w:ilvl w:val="0"/>
                <w:numId w:val="35"/>
              </w:numPr>
              <w:spacing w:after="240" w:line="240" w:lineRule="auto"/>
              <w:jc w:val="both"/>
              <w:rPr>
                <w:rFonts w:ascii="Arial" w:hAnsi="Arial" w:cs="Arial"/>
                <w:sz w:val="28"/>
                <w:szCs w:val="28"/>
              </w:rPr>
            </w:pPr>
            <w:bookmarkStart w:id="24" w:name="_Toc526856035"/>
            <w:r w:rsidRPr="00E12560">
              <w:rPr>
                <w:rFonts w:ascii="Arial" w:hAnsi="Arial" w:cs="Arial"/>
                <w:sz w:val="28"/>
                <w:szCs w:val="28"/>
              </w:rPr>
              <w:t>Sözleşmeler yeniden düzenlenirken uzlaşılamaması halinde uygulama</w:t>
            </w:r>
            <w:bookmarkEnd w:id="24"/>
            <w:r w:rsidRPr="00E12560">
              <w:rPr>
                <w:rFonts w:ascii="Arial" w:hAnsi="Arial" w:cs="Arial"/>
                <w:sz w:val="28"/>
                <w:szCs w:val="28"/>
              </w:rPr>
              <w:t xml:space="preserve"> </w:t>
            </w:r>
          </w:p>
        </w:tc>
      </w:tr>
      <w:tr w:rsidR="00FA0ABD" w:rsidRPr="00C07F21" w:rsidTr="00FA0ABD">
        <w:trPr>
          <w:trHeight w:val="11631"/>
        </w:trPr>
        <w:tc>
          <w:tcPr>
            <w:tcW w:w="9990" w:type="dxa"/>
          </w:tcPr>
          <w:p w:rsidR="00FA0ABD" w:rsidRPr="00E12560" w:rsidRDefault="00FA0ABD" w:rsidP="00573695">
            <w:pPr>
              <w:pStyle w:val="AralkYok"/>
              <w:spacing w:line="360" w:lineRule="auto"/>
              <w:jc w:val="both"/>
              <w:rPr>
                <w:rFonts w:ascii="Arial" w:hAnsi="Arial" w:cs="Arial"/>
                <w:b/>
                <w:sz w:val="24"/>
                <w:szCs w:val="24"/>
              </w:rPr>
            </w:pPr>
            <w:r w:rsidRPr="00E12560">
              <w:rPr>
                <w:rFonts w:ascii="Arial" w:hAnsi="Arial" w:cs="Arial"/>
                <w:sz w:val="24"/>
                <w:szCs w:val="24"/>
              </w:rPr>
              <w:t xml:space="preserve">Bu madde uyarınca sözleşme bedeli ve bu sözleşmelerden kaynaklanan diğer ödeme yükümlülükleri döviz cinsinden veya dövize endeksli olarak kararlaştırılması mümkün olmayan sözleşmelerde yer alan bedeller Türk Parası Kıymetini Koruma Hakkında 32 Sayılı Kararın Geçici 8 inci maddesi kapsamında Türk parası olarak taraflarca yeniden belirlenirken mutabakata varılamazsa; akdedilen sözleşmelerde döviz veya dövize endeksli olarak belirlenen bedeller, söz konusu bedellerin </w:t>
            </w:r>
            <w:proofErr w:type="gramStart"/>
            <w:r w:rsidRPr="00E12560">
              <w:rPr>
                <w:rFonts w:ascii="Arial" w:hAnsi="Arial" w:cs="Arial"/>
                <w:sz w:val="24"/>
                <w:szCs w:val="24"/>
              </w:rPr>
              <w:t>2/1/2018</w:t>
            </w:r>
            <w:proofErr w:type="gramEnd"/>
            <w:r w:rsidRPr="00E12560">
              <w:rPr>
                <w:rFonts w:ascii="Arial" w:hAnsi="Arial" w:cs="Arial"/>
                <w:sz w:val="24"/>
                <w:szCs w:val="24"/>
              </w:rPr>
              <w:t xml:space="preserve"> tarihinde belirlenen gösterge niteliğindeki Türkiye Cumhuriyet Merkez Bankası efektif satış kuru kullanılarak hesaplanan Türk parası cinsinden karşılığının </w:t>
            </w:r>
            <w:r w:rsidRPr="00E12560">
              <w:rPr>
                <w:rFonts w:ascii="Arial" w:hAnsi="Arial" w:cs="Arial"/>
                <w:b/>
                <w:sz w:val="24"/>
                <w:szCs w:val="24"/>
                <w:u w:val="single"/>
              </w:rPr>
              <w:t>2/1/2018 tarihinden bedellerin yeniden belirlendiği tarihe kadar</w:t>
            </w:r>
            <w:r w:rsidRPr="00E12560">
              <w:rPr>
                <w:rFonts w:ascii="Arial" w:hAnsi="Arial" w:cs="Arial"/>
                <w:sz w:val="24"/>
                <w:szCs w:val="24"/>
              </w:rPr>
              <w:t xml:space="preserve"> </w:t>
            </w:r>
            <w:r w:rsidRPr="00E12560">
              <w:rPr>
                <w:rFonts w:ascii="Arial" w:hAnsi="Arial" w:cs="Arial"/>
                <w:b/>
                <w:sz w:val="24"/>
                <w:szCs w:val="24"/>
              </w:rPr>
              <w:t xml:space="preserve">Türkiye İstatistik Kurumunun her ay için belirlediği tüketici fiyat endeksi (TÜFE) aylık değişim oranları esas alınarak artırılması suretiyle belirlenir. </w:t>
            </w:r>
          </w:p>
          <w:p w:rsidR="00FA0ABD" w:rsidRPr="00E12560" w:rsidRDefault="00FA0ABD" w:rsidP="00573695">
            <w:pPr>
              <w:pStyle w:val="AralkYok"/>
              <w:spacing w:line="360" w:lineRule="auto"/>
              <w:jc w:val="both"/>
              <w:rPr>
                <w:rFonts w:ascii="Arial" w:hAnsi="Arial" w:cs="Arial"/>
                <w:sz w:val="24"/>
                <w:szCs w:val="24"/>
              </w:rPr>
            </w:pPr>
            <w:r w:rsidRPr="00E12560">
              <w:rPr>
                <w:rFonts w:ascii="Arial" w:hAnsi="Arial" w:cs="Arial"/>
                <w:sz w:val="24"/>
                <w:szCs w:val="24"/>
              </w:rPr>
              <w:t xml:space="preserve">Türk Parası Kıymetini Koruma Hakkında 32 Sayılı Kararın Geçici 8 inci maddesinin yürürlüğe girdiği tarihten önce akdedilen konut ve çatılı iş yeri kira sözleşmelerinde döviz veya dövize endeksli olarak belirlenen bedeller bu fıkranın ilk paragrafına göre iki yıllık süre için Türk parası olarak belirlenir. </w:t>
            </w:r>
            <w:proofErr w:type="gramStart"/>
            <w:r w:rsidRPr="00E12560">
              <w:rPr>
                <w:rFonts w:ascii="Arial" w:hAnsi="Arial" w:cs="Arial"/>
                <w:sz w:val="24"/>
                <w:szCs w:val="24"/>
              </w:rPr>
              <w:t>Ancak, Türk parası olarak belirlemenin yapıldığı kira yılının sonundan itibaren bir yıl geçerli olmak üzere; anılan paragraf uyarınca Türk parası olarak belirlenen kira bedeli, taraflarca belirlenirken mutabakata varılamazsa, belirleme tarihinden belirlemenin yapıldığı kira yılının sonuna kadar Türkiye İstatistik Kurumunun her ay için belirlediği tüketici fiyat endeksi (TÜFE) aylık değişim oranları esas alınarak artırılması yoluyla belirlenir. Bir sonraki kira yılı Türk parası cinsinden kira bedeli ise, taraflarca belirlenirken mutabakata varılamazsa, önceki kira yılında geçerli olan kira bedelinin Türkiye İstatistik Kurumunun belirlediği tüketici fiyat endeksi (TÜFE) aylık değişim oranları esas alınarak artırılması yoluyla belirlenir ve belirlenen Türk parası cinsinden kira bedeli bu fıkrada belirtilen iki yıllık sürenin sonuna kadar geçerli olur.</w:t>
            </w:r>
            <w:proofErr w:type="gramEnd"/>
          </w:p>
          <w:p w:rsidR="00FA0ABD" w:rsidRPr="00E12560" w:rsidRDefault="00FA0ABD" w:rsidP="00573695">
            <w:pPr>
              <w:pStyle w:val="AralkYok"/>
              <w:spacing w:line="360" w:lineRule="auto"/>
              <w:jc w:val="both"/>
              <w:rPr>
                <w:rFonts w:ascii="Arial" w:hAnsi="Arial" w:cs="Arial"/>
                <w:b/>
                <w:sz w:val="24"/>
                <w:szCs w:val="24"/>
              </w:rPr>
            </w:pPr>
            <w:r w:rsidRPr="00E12560">
              <w:rPr>
                <w:rFonts w:ascii="Arial" w:hAnsi="Arial" w:cs="Arial"/>
                <w:sz w:val="24"/>
                <w:szCs w:val="24"/>
              </w:rPr>
              <w:t>Bu fıkra hükmü, bu madde uyarınca sözleşme bedeli ve bu sözleşmelerden kaynaklanan diğer ödeme yükümlülükleri döviz cinsinden veya dövize endeksli olarak kararlaştırılması mümkün olmayan sözleşmelerde tahsili yapılmış veya gecikmiş alacaklar için uygulanmaz.</w:t>
            </w:r>
          </w:p>
        </w:tc>
      </w:tr>
      <w:tr w:rsidR="00FA0ABD" w:rsidRPr="00C07F21" w:rsidTr="00FA0ABD">
        <w:tc>
          <w:tcPr>
            <w:tcW w:w="9990" w:type="dxa"/>
          </w:tcPr>
          <w:p w:rsidR="00FA0ABD" w:rsidRPr="00E12560" w:rsidRDefault="00FA0ABD" w:rsidP="00FA0ABD">
            <w:pPr>
              <w:pStyle w:val="Balk1"/>
              <w:numPr>
                <w:ilvl w:val="0"/>
                <w:numId w:val="35"/>
              </w:numPr>
              <w:spacing w:after="240" w:line="240" w:lineRule="auto"/>
              <w:jc w:val="both"/>
              <w:rPr>
                <w:rFonts w:ascii="Arial" w:hAnsi="Arial" w:cs="Arial"/>
                <w:sz w:val="28"/>
                <w:szCs w:val="28"/>
              </w:rPr>
            </w:pPr>
            <w:bookmarkStart w:id="25" w:name="_Toc526856036"/>
            <w:r w:rsidRPr="00E12560">
              <w:rPr>
                <w:rFonts w:ascii="Arial" w:hAnsi="Arial" w:cs="Arial"/>
                <w:sz w:val="28"/>
                <w:szCs w:val="28"/>
              </w:rPr>
              <w:t>İstisna sözleşmelerde tarafların talebinin dikkate alınması</w:t>
            </w:r>
            <w:bookmarkEnd w:id="25"/>
            <w:r w:rsidRPr="00E12560">
              <w:rPr>
                <w:rFonts w:ascii="Arial" w:hAnsi="Arial" w:cs="Arial"/>
                <w:sz w:val="28"/>
                <w:szCs w:val="28"/>
              </w:rPr>
              <w:t xml:space="preserve"> </w:t>
            </w:r>
          </w:p>
        </w:tc>
      </w:tr>
      <w:tr w:rsidR="00FA0ABD" w:rsidRPr="00C07F21" w:rsidTr="00FA0ABD">
        <w:tc>
          <w:tcPr>
            <w:tcW w:w="9990" w:type="dxa"/>
          </w:tcPr>
          <w:p w:rsidR="00FA0ABD" w:rsidRPr="00E12560" w:rsidRDefault="00FA0ABD" w:rsidP="00573695">
            <w:pPr>
              <w:pStyle w:val="AralkYok"/>
              <w:spacing w:line="360" w:lineRule="auto"/>
              <w:jc w:val="both"/>
              <w:rPr>
                <w:rFonts w:ascii="Arial" w:hAnsi="Arial" w:cs="Arial"/>
                <w:sz w:val="24"/>
                <w:szCs w:val="24"/>
              </w:rPr>
            </w:pPr>
            <w:proofErr w:type="gramStart"/>
            <w:r w:rsidRPr="00E12560">
              <w:rPr>
                <w:rFonts w:ascii="Arial" w:hAnsi="Arial" w:cs="Arial"/>
                <w:sz w:val="24"/>
                <w:szCs w:val="24"/>
              </w:rPr>
              <w:t>Bu maddede, istisna tanınan tarafların mutabakatıyla yeni yapılacak sözleşmelerin Türk parası cinsinden yapılmasını veya mevcut döviz cinsinden veya dövize endeksli sözleşmelerde yer alan bedellerin Türk Parası Kıymetini Koruma Hakkında 32 Sayılı Kararın Geçici 8 inci maddesi uyarınca Türk parası olarak yeniden kararlaştırılmasını talep etmesi durumunda sözleşmelerde yer alan bedeller Türk parası cinsinden kararlaştırılır.</w:t>
            </w:r>
            <w:proofErr w:type="gramEnd"/>
          </w:p>
        </w:tc>
      </w:tr>
    </w:tbl>
    <w:p w:rsidR="00FA0ABD" w:rsidRDefault="00FA0ABD" w:rsidP="00FA0ABD">
      <w:pPr>
        <w:rPr>
          <w:rFonts w:ascii="Times New Roman" w:hAnsi="Times New Roman"/>
          <w:sz w:val="24"/>
          <w:szCs w:val="24"/>
          <w:lang w:eastAsia="tr-TR"/>
        </w:rPr>
      </w:pPr>
      <w:r>
        <w:rPr>
          <w:rFonts w:ascii="Times New Roman" w:hAnsi="Times New Roman"/>
          <w:sz w:val="24"/>
          <w:szCs w:val="24"/>
          <w:lang w:eastAsia="tr-TR"/>
        </w:rPr>
        <w:br w:type="page"/>
      </w:r>
    </w:p>
    <w:p w:rsidR="00E52187" w:rsidRDefault="00E52187" w:rsidP="00E52187">
      <w:pPr>
        <w:jc w:val="both"/>
        <w:rPr>
          <w:sz w:val="24"/>
          <w:szCs w:val="24"/>
        </w:rPr>
      </w:pPr>
    </w:p>
    <w:sectPr w:rsidR="00E52187" w:rsidSect="001D17C6">
      <w:headerReference w:type="default" r:id="rId7"/>
      <w:footerReference w:type="default" r:id="rId8"/>
      <w:pgSz w:w="11906" w:h="16838"/>
      <w:pgMar w:top="448" w:right="851" w:bottom="1134" w:left="1418" w:header="420"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0C9" w:rsidRDefault="00B470C9" w:rsidP="008B1AF4">
      <w:r>
        <w:separator/>
      </w:r>
    </w:p>
  </w:endnote>
  <w:endnote w:type="continuationSeparator" w:id="0">
    <w:p w:rsidR="00B470C9" w:rsidRDefault="00B470C9" w:rsidP="008B1AF4">
      <w:r>
        <w:continuationSeparator/>
      </w:r>
    </w:p>
  </w:endnote>
  <w:endnote w:id="1">
    <w:p w:rsidR="00FA0ABD" w:rsidRPr="00514315" w:rsidRDefault="00FA0ABD" w:rsidP="00FA0ABD">
      <w:pPr>
        <w:pStyle w:val="SonnotMetni"/>
        <w:rPr>
          <w:lang w:val="en-US"/>
        </w:rPr>
      </w:pPr>
      <w:r>
        <w:rPr>
          <w:rStyle w:val="SonnotBavurusu"/>
        </w:rPr>
        <w:endnoteRef/>
      </w:r>
      <w:r>
        <w:t xml:space="preserve"> </w:t>
      </w:r>
    </w:p>
    <w:tbl>
      <w:tblPr>
        <w:tblW w:w="0" w:type="auto"/>
        <w:jc w:val="center"/>
        <w:tblCellMar>
          <w:left w:w="0" w:type="dxa"/>
          <w:right w:w="0" w:type="dxa"/>
        </w:tblCellMar>
        <w:tblLook w:val="04A0" w:firstRow="1" w:lastRow="0" w:firstColumn="1" w:lastColumn="0" w:noHBand="0" w:noVBand="1"/>
      </w:tblPr>
      <w:tblGrid>
        <w:gridCol w:w="9104"/>
      </w:tblGrid>
      <w:tr w:rsidR="00FA0ABD" w:rsidRPr="00514315" w:rsidTr="0051431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A0ABD" w:rsidRPr="0051431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A0ABD" w:rsidRPr="00514315" w:rsidRDefault="00FA0ABD" w:rsidP="00514315">
                  <w:pPr>
                    <w:spacing w:line="240" w:lineRule="atLeast"/>
                    <w:rPr>
                      <w:rFonts w:ascii="Times New Roman" w:eastAsia="Times New Roman" w:hAnsi="Times New Roman"/>
                      <w:sz w:val="24"/>
                      <w:szCs w:val="24"/>
                      <w:lang w:eastAsia="tr-TR"/>
                    </w:rPr>
                  </w:pPr>
                  <w:r w:rsidRPr="00514315">
                    <w:rPr>
                      <w:rFonts w:ascii="Arial" w:eastAsia="Times New Roman" w:hAnsi="Arial" w:cs="Arial"/>
                      <w:sz w:val="16"/>
                      <w:szCs w:val="16"/>
                      <w:lang w:eastAsia="tr-TR"/>
                    </w:rPr>
                    <w:t> Ekim 2018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A0ABD" w:rsidRPr="00514315" w:rsidRDefault="00FA0ABD" w:rsidP="00514315">
                  <w:pPr>
                    <w:spacing w:line="240" w:lineRule="atLeast"/>
                    <w:jc w:val="center"/>
                    <w:rPr>
                      <w:rFonts w:ascii="Times New Roman" w:eastAsia="Times New Roman" w:hAnsi="Times New Roman"/>
                      <w:sz w:val="24"/>
                      <w:szCs w:val="24"/>
                      <w:lang w:eastAsia="tr-TR"/>
                    </w:rPr>
                  </w:pPr>
                  <w:r w:rsidRPr="00514315">
                    <w:rPr>
                      <w:rFonts w:ascii="Palatino Linotype" w:eastAsia="Times New Roman"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A0ABD" w:rsidRPr="00514315" w:rsidRDefault="00FA0ABD" w:rsidP="00514315">
                  <w:pPr>
                    <w:spacing w:before="100" w:beforeAutospacing="1" w:after="100" w:afterAutospacing="1"/>
                    <w:jc w:val="right"/>
                    <w:rPr>
                      <w:rFonts w:ascii="Times New Roman" w:eastAsia="Times New Roman" w:hAnsi="Times New Roman"/>
                      <w:sz w:val="24"/>
                      <w:szCs w:val="24"/>
                      <w:lang w:eastAsia="tr-TR"/>
                    </w:rPr>
                  </w:pPr>
                  <w:proofErr w:type="gramStart"/>
                  <w:r w:rsidRPr="00514315">
                    <w:rPr>
                      <w:rFonts w:ascii="Arial" w:eastAsia="Times New Roman" w:hAnsi="Arial" w:cs="Arial"/>
                      <w:sz w:val="16"/>
                      <w:szCs w:val="16"/>
                      <w:lang w:eastAsia="tr-TR"/>
                    </w:rPr>
                    <w:t>Sayı : 30557</w:t>
                  </w:r>
                  <w:proofErr w:type="gramEnd"/>
                </w:p>
              </w:tc>
            </w:tr>
            <w:tr w:rsidR="00FA0ABD" w:rsidRPr="00514315">
              <w:trPr>
                <w:trHeight w:val="480"/>
                <w:jc w:val="center"/>
              </w:trPr>
              <w:tc>
                <w:tcPr>
                  <w:tcW w:w="8789" w:type="dxa"/>
                  <w:gridSpan w:val="3"/>
                  <w:tcMar>
                    <w:top w:w="0" w:type="dxa"/>
                    <w:left w:w="108" w:type="dxa"/>
                    <w:bottom w:w="0" w:type="dxa"/>
                    <w:right w:w="108" w:type="dxa"/>
                  </w:tcMar>
                  <w:vAlign w:val="center"/>
                  <w:hideMark/>
                </w:tcPr>
                <w:p w:rsidR="00FA0ABD" w:rsidRPr="00514315" w:rsidRDefault="00FA0ABD" w:rsidP="00514315">
                  <w:pPr>
                    <w:spacing w:before="100" w:beforeAutospacing="1" w:after="100" w:afterAutospacing="1"/>
                    <w:jc w:val="center"/>
                    <w:rPr>
                      <w:rFonts w:ascii="Times New Roman" w:eastAsia="Times New Roman" w:hAnsi="Times New Roman"/>
                      <w:sz w:val="24"/>
                      <w:szCs w:val="24"/>
                      <w:lang w:eastAsia="tr-TR"/>
                    </w:rPr>
                  </w:pPr>
                  <w:r w:rsidRPr="00514315">
                    <w:rPr>
                      <w:rFonts w:ascii="Arial" w:eastAsia="Times New Roman" w:hAnsi="Arial" w:cs="Arial"/>
                      <w:b/>
                      <w:bCs/>
                      <w:color w:val="000080"/>
                      <w:sz w:val="18"/>
                      <w:szCs w:val="18"/>
                      <w:lang w:eastAsia="tr-TR"/>
                    </w:rPr>
                    <w:t>TEBLİĞ</w:t>
                  </w:r>
                </w:p>
              </w:tc>
            </w:tr>
            <w:tr w:rsidR="00FA0ABD" w:rsidRPr="00514315">
              <w:trPr>
                <w:trHeight w:val="480"/>
                <w:jc w:val="center"/>
              </w:trPr>
              <w:tc>
                <w:tcPr>
                  <w:tcW w:w="8789" w:type="dxa"/>
                  <w:gridSpan w:val="3"/>
                  <w:tcMar>
                    <w:top w:w="0" w:type="dxa"/>
                    <w:left w:w="108" w:type="dxa"/>
                    <w:bottom w:w="0" w:type="dxa"/>
                    <w:right w:w="108" w:type="dxa"/>
                  </w:tcMar>
                  <w:vAlign w:val="center"/>
                  <w:hideMark/>
                </w:tcPr>
                <w:p w:rsidR="00FA0ABD" w:rsidRPr="00514315" w:rsidRDefault="00FA0ABD" w:rsidP="00514315">
                  <w:pPr>
                    <w:spacing w:line="240" w:lineRule="atLeast"/>
                    <w:ind w:firstLine="566"/>
                    <w:jc w:val="both"/>
                    <w:rPr>
                      <w:rFonts w:ascii="Times New Roman" w:eastAsia="Times New Roman" w:hAnsi="Times New Roman"/>
                      <w:u w:val="single"/>
                      <w:lang w:eastAsia="tr-TR"/>
                    </w:rPr>
                  </w:pPr>
                  <w:r w:rsidRPr="00514315">
                    <w:rPr>
                      <w:rFonts w:ascii="Times New Roman" w:eastAsia="Times New Roman" w:hAnsi="Times New Roman"/>
                      <w:sz w:val="18"/>
                      <w:szCs w:val="18"/>
                      <w:u w:val="single"/>
                      <w:lang w:eastAsia="tr-TR"/>
                    </w:rPr>
                    <w:t>Hazine ve Maliye Bakanlığından:</w:t>
                  </w:r>
                </w:p>
                <w:p w:rsidR="00FA0ABD" w:rsidRPr="00514315" w:rsidRDefault="00FA0ABD" w:rsidP="00514315">
                  <w:pPr>
                    <w:spacing w:before="56" w:line="240" w:lineRule="atLeast"/>
                    <w:jc w:val="center"/>
                    <w:rPr>
                      <w:rFonts w:ascii="Times New Roman" w:eastAsia="Times New Roman" w:hAnsi="Times New Roman"/>
                      <w:b/>
                      <w:bCs/>
                      <w:sz w:val="19"/>
                      <w:szCs w:val="19"/>
                      <w:lang w:eastAsia="tr-TR"/>
                    </w:rPr>
                  </w:pPr>
                  <w:r w:rsidRPr="00514315">
                    <w:rPr>
                      <w:rFonts w:ascii="Times New Roman" w:eastAsia="Times New Roman" w:hAnsi="Times New Roman"/>
                      <w:b/>
                      <w:bCs/>
                      <w:sz w:val="18"/>
                      <w:szCs w:val="18"/>
                      <w:lang w:eastAsia="tr-TR"/>
                    </w:rPr>
                    <w:t>TÜRK PARASI KIYMETİNİ KORUMA HAKKINDA 32 SAYILI KARARA İLİŞKİN</w:t>
                  </w:r>
                </w:p>
                <w:p w:rsidR="00FA0ABD" w:rsidRPr="00514315" w:rsidRDefault="00FA0ABD" w:rsidP="00514315">
                  <w:pPr>
                    <w:spacing w:line="240" w:lineRule="atLeast"/>
                    <w:jc w:val="center"/>
                    <w:rPr>
                      <w:rFonts w:ascii="Times New Roman" w:eastAsia="Times New Roman" w:hAnsi="Times New Roman"/>
                      <w:b/>
                      <w:bCs/>
                      <w:sz w:val="19"/>
                      <w:szCs w:val="19"/>
                      <w:lang w:eastAsia="tr-TR"/>
                    </w:rPr>
                  </w:pPr>
                  <w:r w:rsidRPr="00514315">
                    <w:rPr>
                      <w:rFonts w:ascii="Times New Roman" w:eastAsia="Times New Roman" w:hAnsi="Times New Roman"/>
                      <w:b/>
                      <w:bCs/>
                      <w:sz w:val="18"/>
                      <w:szCs w:val="18"/>
                      <w:lang w:eastAsia="tr-TR"/>
                    </w:rPr>
                    <w:t>TEBLİĞ (TEBLİĞ NO: 2008-32/34)’DE DEĞİŞİKLİK YAPILMASINA</w:t>
                  </w:r>
                </w:p>
                <w:p w:rsidR="00FA0ABD" w:rsidRPr="00514315" w:rsidRDefault="00FA0ABD" w:rsidP="00514315">
                  <w:pPr>
                    <w:spacing w:after="170" w:line="240" w:lineRule="atLeast"/>
                    <w:jc w:val="center"/>
                    <w:rPr>
                      <w:rFonts w:ascii="Times New Roman" w:eastAsia="Times New Roman" w:hAnsi="Times New Roman"/>
                      <w:b/>
                      <w:bCs/>
                      <w:sz w:val="19"/>
                      <w:szCs w:val="19"/>
                      <w:lang w:eastAsia="tr-TR"/>
                    </w:rPr>
                  </w:pPr>
                  <w:r w:rsidRPr="00514315">
                    <w:rPr>
                      <w:rFonts w:ascii="Times New Roman" w:eastAsia="Times New Roman" w:hAnsi="Times New Roman"/>
                      <w:b/>
                      <w:bCs/>
                      <w:sz w:val="18"/>
                      <w:szCs w:val="18"/>
                      <w:lang w:eastAsia="tr-TR"/>
                    </w:rPr>
                    <w:t>DAİR TEBLİĞ (TEBLİĞ NO: 2018-32/51)</w:t>
                  </w:r>
                </w:p>
                <w:p w:rsidR="00FA0ABD" w:rsidRPr="00514315" w:rsidRDefault="00FA0ABD" w:rsidP="00514315">
                  <w:pPr>
                    <w:spacing w:line="240" w:lineRule="atLeast"/>
                    <w:ind w:firstLine="566"/>
                    <w:jc w:val="both"/>
                    <w:rPr>
                      <w:rFonts w:ascii="Times New Roman" w:eastAsia="Times New Roman" w:hAnsi="Times New Roman"/>
                      <w:sz w:val="19"/>
                      <w:szCs w:val="19"/>
                      <w:lang w:eastAsia="tr-TR"/>
                    </w:rPr>
                  </w:pPr>
                  <w:r w:rsidRPr="00514315">
                    <w:rPr>
                      <w:rFonts w:ascii="Times New Roman" w:eastAsia="Times New Roman" w:hAnsi="Times New Roman"/>
                      <w:b/>
                      <w:bCs/>
                      <w:sz w:val="18"/>
                      <w:szCs w:val="18"/>
                      <w:lang w:eastAsia="tr-TR"/>
                    </w:rPr>
                    <w:t>MADDE 1 – </w:t>
                  </w:r>
                  <w:proofErr w:type="gramStart"/>
                  <w:r w:rsidRPr="00514315">
                    <w:rPr>
                      <w:rFonts w:ascii="Times New Roman" w:eastAsia="Times New Roman" w:hAnsi="Times New Roman"/>
                      <w:sz w:val="18"/>
                      <w:szCs w:val="18"/>
                      <w:lang w:eastAsia="tr-TR"/>
                    </w:rPr>
                    <w:t>28/2/2008</w:t>
                  </w:r>
                  <w:proofErr w:type="gramEnd"/>
                  <w:r w:rsidRPr="00514315">
                    <w:rPr>
                      <w:rFonts w:ascii="Times New Roman" w:eastAsia="Times New Roman" w:hAnsi="Times New Roman"/>
                      <w:sz w:val="18"/>
                      <w:szCs w:val="18"/>
                      <w:lang w:eastAsia="tr-TR"/>
                    </w:rPr>
                    <w:t xml:space="preserve"> tarihli ve 26801 sayılı Resmî Gazete’de yayımlanan Türk Parası Kıymetini Koruma Hakkında 32 Sayılı Karara İlişkin Tebliğ (Tebliğ No: 2008-32/34)’in mülga 8 inci maddesi başlığı ile birlikte aşağıdaki şekilde yeniden düzenlenmiştir.</w:t>
                  </w:r>
                </w:p>
                <w:p w:rsidR="00FA0ABD" w:rsidRPr="00514315" w:rsidRDefault="00FA0ABD" w:rsidP="00514315">
                  <w:pPr>
                    <w:spacing w:line="240" w:lineRule="atLeast"/>
                    <w:ind w:firstLine="566"/>
                    <w:jc w:val="both"/>
                    <w:rPr>
                      <w:rFonts w:ascii="Times New Roman" w:eastAsia="Times New Roman" w:hAnsi="Times New Roman"/>
                      <w:sz w:val="19"/>
                      <w:szCs w:val="19"/>
                      <w:lang w:eastAsia="tr-TR"/>
                    </w:rPr>
                  </w:pPr>
                  <w:r w:rsidRPr="00514315">
                    <w:rPr>
                      <w:rFonts w:ascii="Times New Roman" w:eastAsia="Times New Roman" w:hAnsi="Times New Roman"/>
                      <w:b/>
                      <w:bCs/>
                      <w:sz w:val="18"/>
                      <w:szCs w:val="18"/>
                      <w:lang w:eastAsia="tr-TR"/>
                    </w:rPr>
                    <w:t>“Döviz Cinsinden ve Dövize Endeksli Sözleşmeler</w:t>
                  </w:r>
                </w:p>
                <w:p w:rsidR="00FA0ABD" w:rsidRPr="00514315" w:rsidRDefault="00FA0ABD" w:rsidP="00514315">
                  <w:pPr>
                    <w:spacing w:line="240" w:lineRule="atLeast"/>
                    <w:ind w:firstLine="566"/>
                    <w:jc w:val="both"/>
                    <w:rPr>
                      <w:rFonts w:ascii="Times New Roman" w:eastAsia="Times New Roman" w:hAnsi="Times New Roman"/>
                      <w:sz w:val="19"/>
                      <w:szCs w:val="19"/>
                      <w:lang w:eastAsia="tr-TR"/>
                    </w:rPr>
                  </w:pPr>
                  <w:r w:rsidRPr="00514315">
                    <w:rPr>
                      <w:rFonts w:ascii="Times New Roman" w:eastAsia="Times New Roman" w:hAnsi="Times New Roman"/>
                      <w:b/>
                      <w:bCs/>
                      <w:sz w:val="18"/>
                      <w:szCs w:val="18"/>
                      <w:lang w:eastAsia="tr-TR"/>
                    </w:rPr>
                    <w:t>MADDE 8 –</w:t>
                  </w:r>
                  <w:r w:rsidRPr="00514315">
                    <w:rPr>
                      <w:rFonts w:ascii="Times New Roman" w:eastAsia="Times New Roman" w:hAnsi="Times New Roman"/>
                      <w:sz w:val="18"/>
                      <w:szCs w:val="18"/>
                      <w:lang w:eastAsia="tr-TR"/>
                    </w:rPr>
                    <w:t xml:space="preserve"> (1) Türkiye’de yerleşik kişiler; kendi aralarında akdedecekleri, konusu serbest bölgeler </w:t>
                  </w:r>
                  <w:proofErr w:type="gramStart"/>
                  <w:r w:rsidRPr="00514315">
                    <w:rPr>
                      <w:rFonts w:ascii="Times New Roman" w:eastAsia="Times New Roman" w:hAnsi="Times New Roman"/>
                      <w:sz w:val="18"/>
                      <w:szCs w:val="18"/>
                      <w:lang w:eastAsia="tr-TR"/>
                    </w:rPr>
                    <w:t>dahil</w:t>
                  </w:r>
                  <w:proofErr w:type="gramEnd"/>
                  <w:r w:rsidRPr="00514315">
                    <w:rPr>
                      <w:rFonts w:ascii="Times New Roman" w:eastAsia="Times New Roman" w:hAnsi="Times New Roman"/>
                      <w:sz w:val="18"/>
                      <w:szCs w:val="18"/>
                      <w:lang w:eastAsia="tr-TR"/>
                    </w:rPr>
                    <w:t xml:space="preserve"> yurt içinde yer alan gayrimenkuller olan, konut ve çatılı iş yeri dâhil gayrimenkul satış sözleşmelerinde sözleşme bedelini ve bu sözleşmelerden kaynaklanan diğer ödeme yükümlülüklerini döviz cinsinden veya dövize endeksli olarak kararlaştıramazlar.</w:t>
                  </w:r>
                </w:p>
                <w:p w:rsidR="00FA0ABD" w:rsidRPr="00514315" w:rsidRDefault="00FA0ABD" w:rsidP="00514315">
                  <w:pPr>
                    <w:spacing w:line="240" w:lineRule="atLeast"/>
                    <w:ind w:firstLine="566"/>
                    <w:jc w:val="both"/>
                    <w:rPr>
                      <w:rFonts w:ascii="Times New Roman" w:eastAsia="Times New Roman" w:hAnsi="Times New Roman"/>
                      <w:sz w:val="19"/>
                      <w:szCs w:val="19"/>
                      <w:lang w:eastAsia="tr-TR"/>
                    </w:rPr>
                  </w:pPr>
                  <w:r w:rsidRPr="00514315">
                    <w:rPr>
                      <w:rFonts w:ascii="Times New Roman" w:eastAsia="Times New Roman" w:hAnsi="Times New Roman"/>
                      <w:sz w:val="18"/>
                      <w:szCs w:val="18"/>
                      <w:lang w:eastAsia="tr-TR"/>
                    </w:rPr>
                    <w:t xml:space="preserve">(2) Türkiye’de yerleşik kişiler; kendi aralarında akdedecekleri, konusu serbest bölgeler </w:t>
                  </w:r>
                  <w:proofErr w:type="gramStart"/>
                  <w:r w:rsidRPr="00514315">
                    <w:rPr>
                      <w:rFonts w:ascii="Times New Roman" w:eastAsia="Times New Roman" w:hAnsi="Times New Roman"/>
                      <w:sz w:val="18"/>
                      <w:szCs w:val="18"/>
                      <w:lang w:eastAsia="tr-TR"/>
                    </w:rPr>
                    <w:t>dahil</w:t>
                  </w:r>
                  <w:proofErr w:type="gramEnd"/>
                  <w:r w:rsidRPr="00514315">
                    <w:rPr>
                      <w:rFonts w:ascii="Times New Roman" w:eastAsia="Times New Roman" w:hAnsi="Times New Roman"/>
                      <w:sz w:val="18"/>
                      <w:szCs w:val="18"/>
                      <w:lang w:eastAsia="tr-TR"/>
                    </w:rPr>
                    <w:t xml:space="preserve"> yurt içinde yer alan gayrimenkuller olan, konut ve çatılı iş yeri dâhil gayrimenkul kiralama sözleşmelerinde sözleşme bedelini ve bu sözleşmelerden kaynaklanan diğer ödeme yükümlülüklerini döviz cinsinden veya dövize endeksli olarak kararlaştıramazlar.</w:t>
                  </w:r>
                </w:p>
                <w:p w:rsidR="00FA0ABD" w:rsidRPr="00514315" w:rsidRDefault="00FA0ABD" w:rsidP="00514315">
                  <w:pPr>
                    <w:spacing w:line="240" w:lineRule="atLeast"/>
                    <w:ind w:firstLine="566"/>
                    <w:jc w:val="both"/>
                    <w:rPr>
                      <w:rFonts w:ascii="Times New Roman" w:eastAsia="Times New Roman" w:hAnsi="Times New Roman"/>
                      <w:sz w:val="19"/>
                      <w:szCs w:val="19"/>
                      <w:lang w:eastAsia="tr-TR"/>
                    </w:rPr>
                  </w:pPr>
                  <w:r w:rsidRPr="00514315">
                    <w:rPr>
                      <w:rFonts w:ascii="Times New Roman" w:eastAsia="Times New Roman" w:hAnsi="Times New Roman"/>
                      <w:sz w:val="18"/>
                      <w:szCs w:val="18"/>
                      <w:lang w:eastAsia="tr-TR"/>
                    </w:rPr>
                    <w:t>(3) Türkiye’de yerleşik kişiler; yurt dışında ifa edilecekler dışında kalan, kendi aralarında akdedecekleri, iş sözleşmelerinde sözleşme bedelini ve bu sözleşmelerden kaynaklanan diğer ödeme yükümlülüklerini döviz cinsinden veya dövize endeksli olarak kararlaştıramazlar.</w:t>
                  </w:r>
                </w:p>
                <w:p w:rsidR="00FA0ABD" w:rsidRPr="00514315" w:rsidRDefault="00FA0ABD" w:rsidP="00514315">
                  <w:pPr>
                    <w:spacing w:line="240" w:lineRule="atLeast"/>
                    <w:ind w:firstLine="566"/>
                    <w:jc w:val="both"/>
                    <w:rPr>
                      <w:rFonts w:ascii="Times New Roman" w:eastAsia="Times New Roman" w:hAnsi="Times New Roman"/>
                      <w:sz w:val="19"/>
                      <w:szCs w:val="19"/>
                      <w:lang w:eastAsia="tr-TR"/>
                    </w:rPr>
                  </w:pPr>
                  <w:r w:rsidRPr="00514315">
                    <w:rPr>
                      <w:rFonts w:ascii="Times New Roman" w:eastAsia="Times New Roman" w:hAnsi="Times New Roman"/>
                      <w:sz w:val="18"/>
                      <w:szCs w:val="18"/>
                      <w:lang w:eastAsia="tr-TR"/>
                    </w:rPr>
                    <w:t>(4) Türkiye’de yerleşik kişiler; kendi aralarında akdedecekleri, aşağıda belirtilenler dışında kalan danışmanlık, aracılık ve taşımacılık dâhil hizmet sözleşmelerinde, sözleşme bedelini ve bu sözleşmelerden kaynaklanan diğer ödeme yükümlülüklerini döviz cinsinden veya dövize endeksli olarak kararlaştıramazlar.</w:t>
                  </w:r>
                </w:p>
                <w:p w:rsidR="00FA0ABD" w:rsidRPr="00514315" w:rsidRDefault="00FA0ABD" w:rsidP="00514315">
                  <w:pPr>
                    <w:spacing w:line="240" w:lineRule="atLeast"/>
                    <w:ind w:firstLine="566"/>
                    <w:jc w:val="both"/>
                    <w:rPr>
                      <w:rFonts w:ascii="Times New Roman" w:eastAsia="Times New Roman" w:hAnsi="Times New Roman"/>
                      <w:sz w:val="19"/>
                      <w:szCs w:val="19"/>
                      <w:lang w:eastAsia="tr-TR"/>
                    </w:rPr>
                  </w:pPr>
                  <w:r w:rsidRPr="00514315">
                    <w:rPr>
                      <w:rFonts w:ascii="Times New Roman" w:eastAsia="Times New Roman" w:hAnsi="Times New Roman"/>
                      <w:sz w:val="18"/>
                      <w:szCs w:val="18"/>
                      <w:lang w:eastAsia="tr-TR"/>
                    </w:rPr>
                    <w:t>a) Türkiye Cumhuriyeti Devleti ile vatandaşlık bağı bulunmayan kişilerin taraf oldukları hizmet sözleşmeleri,</w:t>
                  </w:r>
                </w:p>
                <w:p w:rsidR="00FA0ABD" w:rsidRPr="00514315" w:rsidRDefault="00FA0ABD" w:rsidP="00514315">
                  <w:pPr>
                    <w:spacing w:line="240" w:lineRule="atLeast"/>
                    <w:ind w:firstLine="566"/>
                    <w:jc w:val="both"/>
                    <w:rPr>
                      <w:rFonts w:ascii="Times New Roman" w:eastAsia="Times New Roman" w:hAnsi="Times New Roman"/>
                      <w:sz w:val="19"/>
                      <w:szCs w:val="19"/>
                      <w:lang w:eastAsia="tr-TR"/>
                    </w:rPr>
                  </w:pPr>
                  <w:r w:rsidRPr="00514315">
                    <w:rPr>
                      <w:rFonts w:ascii="Times New Roman" w:eastAsia="Times New Roman" w:hAnsi="Times New Roman"/>
                      <w:sz w:val="18"/>
                      <w:szCs w:val="18"/>
                      <w:lang w:eastAsia="tr-TR"/>
                    </w:rPr>
                    <w:t>b) İhracat, transit ticaret, ihracat sayılan satış ve teslimler ile döviz kazandırıcı hizmet ve faaliyetler kapsamında yapılan hizmet sözleşmeleri,</w:t>
                  </w:r>
                </w:p>
                <w:p w:rsidR="00FA0ABD" w:rsidRPr="00514315" w:rsidRDefault="00FA0ABD" w:rsidP="00514315">
                  <w:pPr>
                    <w:spacing w:line="240" w:lineRule="atLeast"/>
                    <w:ind w:firstLine="566"/>
                    <w:jc w:val="both"/>
                    <w:rPr>
                      <w:rFonts w:ascii="Times New Roman" w:eastAsia="Times New Roman" w:hAnsi="Times New Roman"/>
                      <w:sz w:val="19"/>
                      <w:szCs w:val="19"/>
                      <w:lang w:eastAsia="tr-TR"/>
                    </w:rPr>
                  </w:pPr>
                  <w:r w:rsidRPr="00514315">
                    <w:rPr>
                      <w:rFonts w:ascii="Times New Roman" w:eastAsia="Times New Roman" w:hAnsi="Times New Roman"/>
                      <w:sz w:val="18"/>
                      <w:szCs w:val="18"/>
                      <w:lang w:eastAsia="tr-TR"/>
                    </w:rPr>
                    <w:t>c) Türkiye’de yerleşik kişilerin yurt dışında gerçekleştirecekleri faaliyetler kapsamında yapılan hizmet sözleşmeleri,</w:t>
                  </w:r>
                </w:p>
                <w:p w:rsidR="00FA0ABD" w:rsidRPr="00514315" w:rsidRDefault="00FA0ABD" w:rsidP="00514315">
                  <w:pPr>
                    <w:spacing w:line="240" w:lineRule="atLeast"/>
                    <w:ind w:firstLine="566"/>
                    <w:jc w:val="both"/>
                    <w:rPr>
                      <w:rFonts w:ascii="Times New Roman" w:eastAsia="Times New Roman" w:hAnsi="Times New Roman"/>
                      <w:sz w:val="19"/>
                      <w:szCs w:val="19"/>
                      <w:lang w:eastAsia="tr-TR"/>
                    </w:rPr>
                  </w:pPr>
                  <w:r w:rsidRPr="00514315">
                    <w:rPr>
                      <w:rFonts w:ascii="Times New Roman" w:eastAsia="Times New Roman" w:hAnsi="Times New Roman"/>
                      <w:sz w:val="18"/>
                      <w:szCs w:val="18"/>
                      <w:lang w:eastAsia="tr-TR"/>
                    </w:rPr>
                    <w:t>ç) Türkiye’de yerleşik kişilerin, kendi aralarında akdedecekleri, Türkiye’de başlayıp yurt dışında sonlanan ve yurt dışında başlayıp Türkiye’de sonlanan elektronik haberleşme ile ilgili hizmet sözleşmeleri.</w:t>
                  </w:r>
                </w:p>
                <w:p w:rsidR="00FA0ABD" w:rsidRPr="00514315" w:rsidRDefault="00FA0ABD" w:rsidP="00514315">
                  <w:pPr>
                    <w:spacing w:line="240" w:lineRule="atLeast"/>
                    <w:ind w:firstLine="566"/>
                    <w:jc w:val="both"/>
                    <w:rPr>
                      <w:rFonts w:ascii="Times New Roman" w:eastAsia="Times New Roman" w:hAnsi="Times New Roman"/>
                      <w:sz w:val="19"/>
                      <w:szCs w:val="19"/>
                      <w:lang w:eastAsia="tr-TR"/>
                    </w:rPr>
                  </w:pPr>
                  <w:r w:rsidRPr="00514315">
                    <w:rPr>
                      <w:rFonts w:ascii="Times New Roman" w:eastAsia="Times New Roman" w:hAnsi="Times New Roman"/>
                      <w:sz w:val="18"/>
                      <w:szCs w:val="18"/>
                      <w:lang w:eastAsia="tr-TR"/>
                    </w:rPr>
                    <w:t xml:space="preserve">(5) Türkiye’de yerleşik kişiler; kendi aralarında akdedecekleri, </w:t>
                  </w:r>
                  <w:proofErr w:type="gramStart"/>
                  <w:r w:rsidRPr="00514315">
                    <w:rPr>
                      <w:rFonts w:ascii="Times New Roman" w:eastAsia="Times New Roman" w:hAnsi="Times New Roman"/>
                      <w:sz w:val="18"/>
                      <w:szCs w:val="18"/>
                      <w:lang w:eastAsia="tr-TR"/>
                    </w:rPr>
                    <w:t>16/12/1999</w:t>
                  </w:r>
                  <w:proofErr w:type="gramEnd"/>
                  <w:r w:rsidRPr="00514315">
                    <w:rPr>
                      <w:rFonts w:ascii="Times New Roman" w:eastAsia="Times New Roman" w:hAnsi="Times New Roman"/>
                      <w:sz w:val="18"/>
                      <w:szCs w:val="18"/>
                      <w:lang w:eastAsia="tr-TR"/>
                    </w:rPr>
                    <w:t xml:space="preserve"> tarihli ve 4490 sayılı Türk Uluslararası Gemi Sicili Kanunu ile 491 sayılı Kanun Hükmünde Kararnamede Değişiklik Yapılmasına Dair Kanunda tanımlanan gemilerin inşası, tamiri ve bakımı dışında kalan eser sözleşmelerinde sözleşme bedelini ve bu sözleşmelerden kaynaklanan diğer ödeme yükümlülüklerini döviz cinsinden veya dövize endeksli olarak kararlaştıramazlar.</w:t>
                  </w:r>
                </w:p>
                <w:p w:rsidR="00FA0ABD" w:rsidRPr="00514315" w:rsidRDefault="00FA0ABD" w:rsidP="00514315">
                  <w:pPr>
                    <w:spacing w:line="240" w:lineRule="atLeast"/>
                    <w:ind w:firstLine="566"/>
                    <w:jc w:val="both"/>
                    <w:rPr>
                      <w:rFonts w:ascii="Times New Roman" w:eastAsia="Times New Roman" w:hAnsi="Times New Roman"/>
                      <w:sz w:val="19"/>
                      <w:szCs w:val="19"/>
                      <w:lang w:eastAsia="tr-TR"/>
                    </w:rPr>
                  </w:pPr>
                  <w:r w:rsidRPr="00514315">
                    <w:rPr>
                      <w:rFonts w:ascii="Times New Roman" w:eastAsia="Times New Roman" w:hAnsi="Times New Roman"/>
                      <w:sz w:val="18"/>
                      <w:szCs w:val="18"/>
                      <w:lang w:eastAsia="tr-TR"/>
                    </w:rPr>
                    <w:t>(6) Türkiye’de yerleşik kişilerin; kendi aralarında akdedecekleri, iş makineleri dâhil taşıt satış sözleşmeleri dışında kalan menkul satış sözleşmelerinde sözleşme bedelini ve bu sözleşmelerden kaynaklanan diğer ödeme yükümlülüklerini döviz cinsinden veya dövize endeksli olarak kararlaştırmaları mümkündür.</w:t>
                  </w:r>
                </w:p>
                <w:p w:rsidR="00FA0ABD" w:rsidRPr="00514315" w:rsidRDefault="00FA0ABD" w:rsidP="00514315">
                  <w:pPr>
                    <w:spacing w:line="240" w:lineRule="atLeast"/>
                    <w:ind w:firstLine="566"/>
                    <w:jc w:val="both"/>
                    <w:rPr>
                      <w:rFonts w:ascii="Times New Roman" w:eastAsia="Times New Roman" w:hAnsi="Times New Roman"/>
                      <w:sz w:val="19"/>
                      <w:szCs w:val="19"/>
                      <w:lang w:eastAsia="tr-TR"/>
                    </w:rPr>
                  </w:pPr>
                  <w:r w:rsidRPr="00514315">
                    <w:rPr>
                      <w:rFonts w:ascii="Times New Roman" w:eastAsia="Times New Roman" w:hAnsi="Times New Roman"/>
                      <w:sz w:val="18"/>
                      <w:szCs w:val="18"/>
                      <w:lang w:eastAsia="tr-TR"/>
                    </w:rPr>
                    <w:t>(7) Türkiye’de yerleşik kişilerin; kendi aralarında akdedecekleri, iş makineleri dâhil taşıt kiralama sözleşmeleri dışında kalan, menkul kiralama sözleşmelerinde sözleşme bedelini ve bu sözleşmelerden kaynaklanan diğer ödeme yükümlülüklerini döviz cinsinden veya dövize endeksli olarak kararlaştırmaları mümkündür.</w:t>
                  </w:r>
                </w:p>
                <w:p w:rsidR="00FA0ABD" w:rsidRPr="00514315" w:rsidRDefault="00FA0ABD" w:rsidP="00514315">
                  <w:pPr>
                    <w:spacing w:line="240" w:lineRule="atLeast"/>
                    <w:ind w:firstLine="566"/>
                    <w:jc w:val="both"/>
                    <w:rPr>
                      <w:rFonts w:ascii="Times New Roman" w:eastAsia="Times New Roman" w:hAnsi="Times New Roman"/>
                      <w:sz w:val="19"/>
                      <w:szCs w:val="19"/>
                      <w:lang w:eastAsia="tr-TR"/>
                    </w:rPr>
                  </w:pPr>
                  <w:r w:rsidRPr="00514315">
                    <w:rPr>
                      <w:rFonts w:ascii="Times New Roman" w:eastAsia="Times New Roman" w:hAnsi="Times New Roman"/>
                      <w:sz w:val="18"/>
                      <w:szCs w:val="18"/>
                      <w:lang w:eastAsia="tr-TR"/>
                    </w:rPr>
                    <w:t>(8) Türkiye’de yerleşik kişilerin; kendi aralarında akdedecekleri, bilişim teknolojileri kapsamında yurt dışında üretilen yazılımlara ilişkin satış sözleşmeleri ile donanım ve yazılımlara ilişkin lisans ve hizmet sözleşmelerinde sözleşme bedelini ve bu sözleşmelerden kaynaklanan diğer ödeme yükümlülüklerini döviz cinsinden veya dövize endeksli olarak kararlaştırmaları mümkündür.</w:t>
                  </w:r>
                </w:p>
                <w:p w:rsidR="00FA0ABD" w:rsidRPr="00514315" w:rsidRDefault="00FA0ABD" w:rsidP="00514315">
                  <w:pPr>
                    <w:spacing w:line="240" w:lineRule="atLeast"/>
                    <w:ind w:firstLine="566"/>
                    <w:jc w:val="both"/>
                    <w:rPr>
                      <w:rFonts w:ascii="Times New Roman" w:eastAsia="Times New Roman" w:hAnsi="Times New Roman"/>
                      <w:sz w:val="19"/>
                      <w:szCs w:val="19"/>
                      <w:lang w:eastAsia="tr-TR"/>
                    </w:rPr>
                  </w:pPr>
                  <w:r w:rsidRPr="00514315">
                    <w:rPr>
                      <w:rFonts w:ascii="Times New Roman" w:eastAsia="Times New Roman" w:hAnsi="Times New Roman"/>
                      <w:sz w:val="18"/>
                      <w:szCs w:val="18"/>
                      <w:lang w:eastAsia="tr-TR"/>
                    </w:rPr>
                    <w:t>(9) 4490 sayılı Türk Uluslararası Gemi Sicili Kanunu ile 491 sayılı Kanun Hükmünde Kararnamede Değişiklik Yapılmasına Dair Kanunda tanımlanan gemilere ilişkin finansal kiralama  (leasing) sözleşmelerinde, sözleşme bedelinin ve bu sözleşmelerden kaynaklanan diğer ödeme yükümlülüklerin döviz cinsinden veya dövize endeksli olarak kararlaştırılması mümkündür.</w:t>
                  </w:r>
                </w:p>
                <w:p w:rsidR="00FA0ABD" w:rsidRPr="00514315" w:rsidRDefault="00FA0ABD" w:rsidP="00514315">
                  <w:pPr>
                    <w:spacing w:line="240" w:lineRule="atLeast"/>
                    <w:ind w:firstLine="566"/>
                    <w:jc w:val="both"/>
                    <w:rPr>
                      <w:rFonts w:ascii="Times New Roman" w:eastAsia="Times New Roman" w:hAnsi="Times New Roman"/>
                      <w:sz w:val="19"/>
                      <w:szCs w:val="19"/>
                      <w:lang w:eastAsia="tr-TR"/>
                    </w:rPr>
                  </w:pPr>
                  <w:r w:rsidRPr="00514315">
                    <w:rPr>
                      <w:rFonts w:ascii="Times New Roman" w:eastAsia="Times New Roman" w:hAnsi="Times New Roman"/>
                      <w:sz w:val="18"/>
                      <w:szCs w:val="18"/>
                      <w:lang w:eastAsia="tr-TR"/>
                    </w:rPr>
                    <w:t>(10) Türk Parası Kıymetini Koruma Hakkında 32 Sayılı Kararın 17 ve 17/A maddeleri kapsamında yapılacak finansal kiralama (leasing) sözleşmelerine ilişkin bedellerin döviz cinsinden kararlaştırılması mümkündür.</w:t>
                  </w:r>
                </w:p>
                <w:p w:rsidR="00FA0ABD" w:rsidRPr="00514315" w:rsidRDefault="00FA0ABD" w:rsidP="00514315">
                  <w:pPr>
                    <w:spacing w:line="240" w:lineRule="atLeast"/>
                    <w:ind w:firstLine="566"/>
                    <w:jc w:val="both"/>
                    <w:rPr>
                      <w:rFonts w:ascii="Times New Roman" w:eastAsia="Times New Roman" w:hAnsi="Times New Roman"/>
                      <w:sz w:val="19"/>
                      <w:szCs w:val="19"/>
                      <w:lang w:eastAsia="tr-TR"/>
                    </w:rPr>
                  </w:pPr>
                  <w:r w:rsidRPr="00514315">
                    <w:rPr>
                      <w:rFonts w:ascii="Times New Roman" w:eastAsia="Times New Roman" w:hAnsi="Times New Roman"/>
                      <w:sz w:val="18"/>
                      <w:szCs w:val="18"/>
                      <w:lang w:eastAsia="tr-TR"/>
                    </w:rPr>
                    <w:t>(11) Türkiye Cumhuriyeti Devleti ile vatandaşlık bağı bulunmayan Türkiye’de yerleşik kişilerin taraf olduğu iş sözleşmelerinde, sözleşme bedelinin ve bu sözleşmelerden kaynaklanan diğer ödeme yükümlülüklerinin döviz cinsinden veya dövize endeksli olarak kararlaştırılması mümkündür.</w:t>
                  </w:r>
                </w:p>
                <w:p w:rsidR="00FA0ABD" w:rsidRPr="00514315" w:rsidRDefault="00FA0ABD" w:rsidP="00514315">
                  <w:pPr>
                    <w:spacing w:line="240" w:lineRule="atLeast"/>
                    <w:ind w:firstLine="566"/>
                    <w:jc w:val="both"/>
                    <w:rPr>
                      <w:rFonts w:ascii="Times New Roman" w:eastAsia="Times New Roman" w:hAnsi="Times New Roman"/>
                      <w:sz w:val="19"/>
                      <w:szCs w:val="19"/>
                      <w:lang w:eastAsia="tr-TR"/>
                    </w:rPr>
                  </w:pPr>
                  <w:r w:rsidRPr="00514315">
                    <w:rPr>
                      <w:rFonts w:ascii="Times New Roman" w:eastAsia="Times New Roman" w:hAnsi="Times New Roman"/>
                      <w:sz w:val="18"/>
                      <w:szCs w:val="18"/>
                      <w:lang w:eastAsia="tr-TR"/>
                    </w:rPr>
                    <w:t>(12) Kamu kurum ve kuruluşları ile Türk Silahlı Kuvvetlerini Güçlendirme Vakfı şirketlerinin taraf olduğu gayrimenkul satış ve gayrimenkul kiralama dışında kalan sözleşmelerde, sözleşme bedelinin ve bu sözleşmelerden kaynaklanan diğer ödeme yükümlülüklerin döviz cinsinden veya dövize endeksli olarak kararlaştırılması mümkündür.</w:t>
                  </w:r>
                </w:p>
                <w:p w:rsidR="00FA0ABD" w:rsidRPr="00514315" w:rsidRDefault="00FA0ABD" w:rsidP="00514315">
                  <w:pPr>
                    <w:spacing w:line="240" w:lineRule="atLeast"/>
                    <w:ind w:firstLine="566"/>
                    <w:jc w:val="both"/>
                    <w:rPr>
                      <w:rFonts w:ascii="Times New Roman" w:eastAsia="Times New Roman" w:hAnsi="Times New Roman"/>
                      <w:sz w:val="19"/>
                      <w:szCs w:val="19"/>
                      <w:lang w:eastAsia="tr-TR"/>
                    </w:rPr>
                  </w:pPr>
                  <w:proofErr w:type="gramStart"/>
                  <w:r w:rsidRPr="00514315">
                    <w:rPr>
                      <w:rFonts w:ascii="Times New Roman" w:eastAsia="Times New Roman" w:hAnsi="Times New Roman"/>
                      <w:sz w:val="18"/>
                      <w:szCs w:val="18"/>
                      <w:lang w:eastAsia="tr-TR"/>
                    </w:rPr>
                    <w:t xml:space="preserve">(13) Kamu kurum ve kuruluşlarının taraf olduğu döviz cinsinden veya dövize endeksli ihaleler, sözleşmeler ve milletlerarası </w:t>
                  </w:r>
                  <w:proofErr w:type="spellStart"/>
                  <w:r w:rsidRPr="00514315">
                    <w:rPr>
                      <w:rFonts w:ascii="Times New Roman" w:eastAsia="Times New Roman" w:hAnsi="Times New Roman"/>
                      <w:sz w:val="18"/>
                      <w:szCs w:val="18"/>
                      <w:lang w:eastAsia="tr-TR"/>
                    </w:rPr>
                    <w:t>andlaşmaların</w:t>
                  </w:r>
                  <w:proofErr w:type="spellEnd"/>
                  <w:r w:rsidRPr="00514315">
                    <w:rPr>
                      <w:rFonts w:ascii="Times New Roman" w:eastAsia="Times New Roman" w:hAnsi="Times New Roman"/>
                      <w:sz w:val="18"/>
                      <w:szCs w:val="18"/>
                      <w:lang w:eastAsia="tr-TR"/>
                    </w:rPr>
                    <w:t xml:space="preserve"> ifası kapsamında olmak kaydıyla; yüklenicilerin üçüncü taraflarla akdedeceği gayrimenkul satış, gayrimenkul kiralama ve iş sözleşmeleri dışında kalan sözleşmelerde, sözleşme bedelinin ve bu sözleşmelerden kaynaklanan diğer ödeme yükümlülüklerin döviz cinsinden veya dövize endeksli olarak kararlaştırılması mümkündür.</w:t>
                  </w:r>
                  <w:proofErr w:type="gramEnd"/>
                </w:p>
                <w:p w:rsidR="00FA0ABD" w:rsidRPr="00514315" w:rsidRDefault="00FA0ABD" w:rsidP="00514315">
                  <w:pPr>
                    <w:spacing w:line="240" w:lineRule="atLeast"/>
                    <w:ind w:firstLine="566"/>
                    <w:jc w:val="both"/>
                    <w:rPr>
                      <w:rFonts w:ascii="Times New Roman" w:eastAsia="Times New Roman" w:hAnsi="Times New Roman"/>
                      <w:sz w:val="19"/>
                      <w:szCs w:val="19"/>
                      <w:lang w:eastAsia="tr-TR"/>
                    </w:rPr>
                  </w:pPr>
                  <w:r w:rsidRPr="00514315">
                    <w:rPr>
                      <w:rFonts w:ascii="Times New Roman" w:eastAsia="Times New Roman" w:hAnsi="Times New Roman"/>
                      <w:sz w:val="18"/>
                      <w:szCs w:val="18"/>
                      <w:lang w:eastAsia="tr-TR"/>
                    </w:rPr>
                    <w:t xml:space="preserve">(14) Hazine ve Maliye Bakanlığının </w:t>
                  </w:r>
                  <w:proofErr w:type="gramStart"/>
                  <w:r w:rsidRPr="00514315">
                    <w:rPr>
                      <w:rFonts w:ascii="Times New Roman" w:eastAsia="Times New Roman" w:hAnsi="Times New Roman"/>
                      <w:sz w:val="18"/>
                      <w:szCs w:val="18"/>
                      <w:lang w:eastAsia="tr-TR"/>
                    </w:rPr>
                    <w:t>28/3/2002</w:t>
                  </w:r>
                  <w:proofErr w:type="gramEnd"/>
                  <w:r w:rsidRPr="00514315">
                    <w:rPr>
                      <w:rFonts w:ascii="Times New Roman" w:eastAsia="Times New Roman" w:hAnsi="Times New Roman"/>
                      <w:sz w:val="18"/>
                      <w:szCs w:val="18"/>
                      <w:lang w:eastAsia="tr-TR"/>
                    </w:rPr>
                    <w:t xml:space="preserve"> tarihli ve 4749 sayılı Kamu Finansmanı ve Borç Yönetiminin Düzenlenmesi Hakkında Kanun kapsamında gerçekleştirdiği işlemlerle ilgili olarak bankaların taraf olduğu sözleşmelerde, sözleşme bedelinin ve bu sözleşmelerden kaynaklanan diğer ödeme yükümlülüklerin döviz cinsinden veya dövize endeksli olarak kararlaştırılması mümkündür.</w:t>
                  </w:r>
                </w:p>
                <w:p w:rsidR="00FA0ABD" w:rsidRPr="00514315" w:rsidRDefault="00FA0ABD" w:rsidP="00514315">
                  <w:pPr>
                    <w:spacing w:line="240" w:lineRule="atLeast"/>
                    <w:ind w:firstLine="566"/>
                    <w:jc w:val="both"/>
                    <w:rPr>
                      <w:rFonts w:ascii="Times New Roman" w:eastAsia="Times New Roman" w:hAnsi="Times New Roman"/>
                      <w:sz w:val="19"/>
                      <w:szCs w:val="19"/>
                      <w:lang w:eastAsia="tr-TR"/>
                    </w:rPr>
                  </w:pPr>
                  <w:r w:rsidRPr="00514315">
                    <w:rPr>
                      <w:rFonts w:ascii="Times New Roman" w:eastAsia="Times New Roman" w:hAnsi="Times New Roman"/>
                      <w:sz w:val="18"/>
                      <w:szCs w:val="18"/>
                      <w:lang w:eastAsia="tr-TR"/>
                    </w:rPr>
                    <w:t xml:space="preserve">(15) Türk Parası Kıymetini Koruma Hakkında 32 Sayılı Karar hükümleri saklı kalmak kaydıyla, 6362 sayılı Sermaye Piyasası Kanunu ile bu Kanuna dayalı olarak yapılan düzenlemeler çerçevesinde sermaye piyasası araçlarının (yabancı sermaye piyasası araçları ve depo sertifikaları ile yabancı yatırım fonu payları da </w:t>
                  </w:r>
                  <w:proofErr w:type="gramStart"/>
                  <w:r w:rsidRPr="00514315">
                    <w:rPr>
                      <w:rFonts w:ascii="Times New Roman" w:eastAsia="Times New Roman" w:hAnsi="Times New Roman"/>
                      <w:sz w:val="18"/>
                      <w:szCs w:val="18"/>
                      <w:lang w:eastAsia="tr-TR"/>
                    </w:rPr>
                    <w:t>dahil</w:t>
                  </w:r>
                  <w:proofErr w:type="gramEnd"/>
                  <w:r w:rsidRPr="00514315">
                    <w:rPr>
                      <w:rFonts w:ascii="Times New Roman" w:eastAsia="Times New Roman" w:hAnsi="Times New Roman"/>
                      <w:sz w:val="18"/>
                      <w:szCs w:val="18"/>
                      <w:lang w:eastAsia="tr-TR"/>
                    </w:rPr>
                    <w:t xml:space="preserve"> olmak üzere) döviz cinsinden oluşturulması, ihracı, alım satımı ve yapılan işlemlere ilişkin yükümlülüklerin döviz cinsinden kararlaştırılması mümkündür.</w:t>
                  </w:r>
                </w:p>
                <w:p w:rsidR="00FA0ABD" w:rsidRPr="00514315" w:rsidRDefault="00FA0ABD" w:rsidP="00514315">
                  <w:pPr>
                    <w:spacing w:line="240" w:lineRule="atLeast"/>
                    <w:ind w:firstLine="566"/>
                    <w:jc w:val="both"/>
                    <w:rPr>
                      <w:rFonts w:ascii="Times New Roman" w:eastAsia="Times New Roman" w:hAnsi="Times New Roman"/>
                      <w:sz w:val="19"/>
                      <w:szCs w:val="19"/>
                      <w:lang w:eastAsia="tr-TR"/>
                    </w:rPr>
                  </w:pPr>
                  <w:proofErr w:type="gramStart"/>
                  <w:r w:rsidRPr="00514315">
                    <w:rPr>
                      <w:rFonts w:ascii="Times New Roman" w:eastAsia="Times New Roman" w:hAnsi="Times New Roman"/>
                      <w:sz w:val="18"/>
                      <w:szCs w:val="18"/>
                      <w:lang w:eastAsia="tr-TR"/>
                    </w:rPr>
                    <w:t>(16) Dışarıda yerleşik kişilerin Türkiye’de bulunan; şube, temsilcilik, ofis, irtibat bürosu, doğrudan veya dolaylı olarak yüzde elli ve üzerinde pay sahipliklerinin bulunduğu şirketler ile serbest bölgedeki faaliyetleri kapsamında serbest bölgelerdeki şirketlerin  taraf olduğu iş ve hizmet sözleşmelerinde, sözleşme bedelinin ve bu sözleşmelerden kaynaklanan diğer ödeme yükümlülüklerinin döviz cinsinden veya dövize endeksli olarak kararlaştırılması mümkündür.</w:t>
                  </w:r>
                  <w:proofErr w:type="gramEnd"/>
                </w:p>
                <w:p w:rsidR="00FA0ABD" w:rsidRPr="00514315" w:rsidRDefault="00FA0ABD" w:rsidP="00514315">
                  <w:pPr>
                    <w:spacing w:line="240" w:lineRule="atLeast"/>
                    <w:ind w:firstLine="566"/>
                    <w:jc w:val="both"/>
                    <w:rPr>
                      <w:rFonts w:ascii="Times New Roman" w:eastAsia="Times New Roman" w:hAnsi="Times New Roman"/>
                      <w:sz w:val="19"/>
                      <w:szCs w:val="19"/>
                      <w:lang w:eastAsia="tr-TR"/>
                    </w:rPr>
                  </w:pPr>
                  <w:proofErr w:type="gramStart"/>
                  <w:r w:rsidRPr="00514315">
                    <w:rPr>
                      <w:rFonts w:ascii="Times New Roman" w:eastAsia="Times New Roman" w:hAnsi="Times New Roman"/>
                      <w:sz w:val="18"/>
                      <w:szCs w:val="18"/>
                      <w:lang w:eastAsia="tr-TR"/>
                    </w:rPr>
                    <w:t>(17) Türkiye’de yerleşik yolcu, yük veya posta taşıma faaliyetinde bulunan ticari havayolu işletmeleri; hava taşıma araçlarına, motorlarına ve bunların aksam ve parçalarına yönelik teknik bakım hizmeti veren şirketler; sivil havacılık mevzuatı kapsamında havalimanlarında yer hizmetleri yapmak üzere çalışma ruhsatı alan veya yetkilendirilen kamu ya da özel hukuk tüzel kişiliği statüsündeki kuruluşlar ile söz konusu kuruluşların kurdukları işletme ve şirketler ile doğrudan veya dolaylı olarak sermayelerinde en az %50 hisse oranına sahip olduğu ortaklıkların Türkiye’de yerleşik kişilerle döviz cinsinden veya dövize endeksli bedeller içeren gayrimenkul satış, gayrimenkul kiralama ve iş sözleşmeleri haricindeki sözleşmeleri akdetmeleri mümkündür.</w:t>
                  </w:r>
                  <w:proofErr w:type="gramEnd"/>
                </w:p>
                <w:p w:rsidR="00FA0ABD" w:rsidRPr="00514315" w:rsidRDefault="00FA0ABD" w:rsidP="00514315">
                  <w:pPr>
                    <w:spacing w:line="240" w:lineRule="atLeast"/>
                    <w:ind w:firstLine="566"/>
                    <w:jc w:val="both"/>
                    <w:rPr>
                      <w:rFonts w:ascii="Times New Roman" w:eastAsia="Times New Roman" w:hAnsi="Times New Roman"/>
                      <w:sz w:val="19"/>
                      <w:szCs w:val="19"/>
                      <w:lang w:eastAsia="tr-TR"/>
                    </w:rPr>
                  </w:pPr>
                  <w:r w:rsidRPr="00514315">
                    <w:rPr>
                      <w:rFonts w:ascii="Times New Roman" w:eastAsia="Times New Roman" w:hAnsi="Times New Roman"/>
                      <w:sz w:val="18"/>
                      <w:szCs w:val="18"/>
                      <w:lang w:eastAsia="tr-TR"/>
                    </w:rPr>
                    <w:t>(18) Bu madde uyarınca sözleşme bedeli ve bu sözleşmelerden kaynaklanan diğer ödeme yükümlülükleri döviz cinsinden veya dövize endeksli olarak kararlaştırılamayan sözleşmeler kapsamında düzenlenecek kıymetli evraklarda yer alan bedellerin döviz cinsinden veya dövize endeksli olarak belirlenmesi mümkün değildir.</w:t>
                  </w:r>
                </w:p>
                <w:p w:rsidR="00FA0ABD" w:rsidRPr="00514315" w:rsidRDefault="00FA0ABD" w:rsidP="00514315">
                  <w:pPr>
                    <w:spacing w:line="240" w:lineRule="atLeast"/>
                    <w:ind w:firstLine="566"/>
                    <w:jc w:val="both"/>
                    <w:rPr>
                      <w:rFonts w:ascii="Times New Roman" w:eastAsia="Times New Roman" w:hAnsi="Times New Roman"/>
                      <w:sz w:val="19"/>
                      <w:szCs w:val="19"/>
                      <w:lang w:eastAsia="tr-TR"/>
                    </w:rPr>
                  </w:pPr>
                  <w:r w:rsidRPr="00514315">
                    <w:rPr>
                      <w:rFonts w:ascii="Times New Roman" w:eastAsia="Times New Roman" w:hAnsi="Times New Roman"/>
                      <w:sz w:val="18"/>
                      <w:szCs w:val="18"/>
                      <w:lang w:eastAsia="tr-TR"/>
                    </w:rPr>
                    <w:t>(19) Uluslararası piyasalarda fiyatı döviz cinsinden belirlenen kıymetli madenlere ve/veya emtiaya endekslenen ve/veya dolaylı olarak dövize endekslenen sözleşmeler, Türk Parası Kıymetini Koruma Hakkında 32 Sayılı Kararın 4 üncü maddesinin (g) bendi uygulaması kapsamında dövize endeksli sözleşme olarak değerlendirilir.</w:t>
                  </w:r>
                </w:p>
                <w:p w:rsidR="00FA0ABD" w:rsidRPr="00514315" w:rsidRDefault="00FA0ABD" w:rsidP="00514315">
                  <w:pPr>
                    <w:spacing w:line="240" w:lineRule="atLeast"/>
                    <w:ind w:firstLine="566"/>
                    <w:jc w:val="both"/>
                    <w:rPr>
                      <w:rFonts w:ascii="Times New Roman" w:eastAsia="Times New Roman" w:hAnsi="Times New Roman"/>
                      <w:sz w:val="19"/>
                      <w:szCs w:val="19"/>
                      <w:lang w:eastAsia="tr-TR"/>
                    </w:rPr>
                  </w:pPr>
                  <w:proofErr w:type="gramStart"/>
                  <w:r w:rsidRPr="00514315">
                    <w:rPr>
                      <w:rFonts w:ascii="Times New Roman" w:eastAsia="Times New Roman" w:hAnsi="Times New Roman"/>
                      <w:sz w:val="18"/>
                      <w:szCs w:val="18"/>
                      <w:lang w:eastAsia="tr-TR"/>
                    </w:rPr>
                    <w:t>(20) Türkiye’de yerleşik kişilerin yurt dışındaki; şube, temsilcilik, ofis, irtibat bürosu, işlettiği veya yönettiği fonlar, yüzde elli ve üzerinde pay sahipliklerinin bulunduğu şirketler ile doğrudan ya da dolaylı olarak sahipliklerinde bulunan şirketler Türk Parası Kıymetini Koruma Hakkında 32 Sayılı Kararın 4 üncü maddesinin (g) bendi uygulaması kapsamında Türkiye’de yerleşik olarak değerlendirilir.</w:t>
                  </w:r>
                  <w:proofErr w:type="gramEnd"/>
                </w:p>
                <w:p w:rsidR="00FA0ABD" w:rsidRPr="00514315" w:rsidRDefault="00FA0ABD" w:rsidP="00514315">
                  <w:pPr>
                    <w:spacing w:line="240" w:lineRule="atLeast"/>
                    <w:ind w:firstLine="566"/>
                    <w:jc w:val="both"/>
                    <w:rPr>
                      <w:rFonts w:ascii="Times New Roman" w:eastAsia="Times New Roman" w:hAnsi="Times New Roman"/>
                      <w:sz w:val="19"/>
                      <w:szCs w:val="19"/>
                      <w:lang w:eastAsia="tr-TR"/>
                    </w:rPr>
                  </w:pPr>
                  <w:r w:rsidRPr="00514315">
                    <w:rPr>
                      <w:rFonts w:ascii="Times New Roman" w:eastAsia="Times New Roman" w:hAnsi="Times New Roman"/>
                      <w:sz w:val="18"/>
                      <w:szCs w:val="18"/>
                      <w:lang w:eastAsia="tr-TR"/>
                    </w:rPr>
                    <w:t>(21) Bu madde uyarınca akdedilecek sözleşmelerde istisna kapsamına alınan, ancak Türk Parası Kıymetini Koruma Hakkında 32 Sayılı Kararın Geçici 8 inci maddesinin yürürlüğe girdiği tarihten önce akdedilmiş bulunan sözleşmeler de anılan geçici madde hükmünden istisnadır.</w:t>
                  </w:r>
                </w:p>
                <w:p w:rsidR="00FA0ABD" w:rsidRPr="00514315" w:rsidRDefault="00FA0ABD" w:rsidP="00514315">
                  <w:pPr>
                    <w:spacing w:line="240" w:lineRule="atLeast"/>
                    <w:ind w:firstLine="566"/>
                    <w:jc w:val="both"/>
                    <w:rPr>
                      <w:rFonts w:ascii="Times New Roman" w:eastAsia="Times New Roman" w:hAnsi="Times New Roman"/>
                      <w:sz w:val="19"/>
                      <w:szCs w:val="19"/>
                      <w:lang w:eastAsia="tr-TR"/>
                    </w:rPr>
                  </w:pPr>
                  <w:r w:rsidRPr="00514315">
                    <w:rPr>
                      <w:rFonts w:ascii="Times New Roman" w:eastAsia="Times New Roman" w:hAnsi="Times New Roman"/>
                      <w:sz w:val="18"/>
                      <w:szCs w:val="18"/>
                      <w:lang w:eastAsia="tr-TR"/>
                    </w:rPr>
                    <w:t>(22) Türk Parası Kıymetini Koruma Hakkında 32 Sayılı Kararın Geçici 8 inci maddesinin yürürlüğe girdiği tarihten önce akdedilmiş bulunan iş makineleri dâhil taşıt kiralama sözleşmeleri anılan geçici madde hükmünden istisnadır.</w:t>
                  </w:r>
                </w:p>
                <w:p w:rsidR="00FA0ABD" w:rsidRPr="00514315" w:rsidRDefault="00FA0ABD" w:rsidP="00514315">
                  <w:pPr>
                    <w:spacing w:line="240" w:lineRule="atLeast"/>
                    <w:ind w:firstLine="566"/>
                    <w:jc w:val="both"/>
                    <w:rPr>
                      <w:rFonts w:ascii="Times New Roman" w:eastAsia="Times New Roman" w:hAnsi="Times New Roman"/>
                      <w:sz w:val="19"/>
                      <w:szCs w:val="19"/>
                      <w:lang w:eastAsia="tr-TR"/>
                    </w:rPr>
                  </w:pPr>
                  <w:r w:rsidRPr="00514315">
                    <w:rPr>
                      <w:rFonts w:ascii="Times New Roman" w:eastAsia="Times New Roman" w:hAnsi="Times New Roman"/>
                      <w:sz w:val="18"/>
                      <w:szCs w:val="18"/>
                      <w:lang w:eastAsia="tr-TR"/>
                    </w:rPr>
                    <w:t>(23) Bu madde uyarınca sözleşme bedeli ve bu sözleşmelerden kaynaklanan diğer ödeme yükümlülükleri döviz cinsinden veya dövize endeksli olarak kararlaştırılması mümkün olmayan sözleşmelerde yer alan bedellerin Türk Parası Kıymetini Koruma Hakkında 32 Sayılı Kararın Geçici 8 inci maddesi kapsamında Türk parası olarak taraflarca yeniden belirlenmesi zorunludur.</w:t>
                  </w:r>
                </w:p>
                <w:p w:rsidR="00FA0ABD" w:rsidRPr="00514315" w:rsidRDefault="00FA0ABD" w:rsidP="00514315">
                  <w:pPr>
                    <w:spacing w:line="240" w:lineRule="atLeast"/>
                    <w:ind w:firstLine="566"/>
                    <w:jc w:val="both"/>
                    <w:rPr>
                      <w:rFonts w:ascii="Times New Roman" w:eastAsia="Times New Roman" w:hAnsi="Times New Roman"/>
                      <w:sz w:val="19"/>
                      <w:szCs w:val="19"/>
                      <w:lang w:eastAsia="tr-TR"/>
                    </w:rPr>
                  </w:pPr>
                  <w:r w:rsidRPr="00514315">
                    <w:rPr>
                      <w:rFonts w:ascii="Times New Roman" w:eastAsia="Times New Roman" w:hAnsi="Times New Roman"/>
                      <w:sz w:val="18"/>
                      <w:szCs w:val="18"/>
                      <w:lang w:eastAsia="tr-TR"/>
                    </w:rPr>
                    <w:t xml:space="preserve">(24) Bu madde uyarınca sözleşme bedeli ve bu sözleşmelerden kaynaklanan diğer ödeme yükümlülükleri döviz cinsinden veya dövize endeksli olarak kararlaştırılması mümkün olmayan sözleşmelerde yer alan bedeller Türk Parası Kıymetini Koruma Hakkında 32 Sayılı Kararın Geçici 8 inci maddesi kapsamında Türk parası olarak taraflarca yeniden belirlenirken mutabakata varılamazsa; akdedilen sözleşmelerde döviz veya dövize endeksli olarak belirlenen bedeller, söz konusu bedellerin </w:t>
                  </w:r>
                  <w:proofErr w:type="gramStart"/>
                  <w:r w:rsidRPr="00514315">
                    <w:rPr>
                      <w:rFonts w:ascii="Times New Roman" w:eastAsia="Times New Roman" w:hAnsi="Times New Roman"/>
                      <w:sz w:val="18"/>
                      <w:szCs w:val="18"/>
                      <w:lang w:eastAsia="tr-TR"/>
                    </w:rPr>
                    <w:t>2/1/2018</w:t>
                  </w:r>
                  <w:proofErr w:type="gramEnd"/>
                  <w:r w:rsidRPr="00514315">
                    <w:rPr>
                      <w:rFonts w:ascii="Times New Roman" w:eastAsia="Times New Roman" w:hAnsi="Times New Roman"/>
                      <w:sz w:val="18"/>
                      <w:szCs w:val="18"/>
                      <w:lang w:eastAsia="tr-TR"/>
                    </w:rPr>
                    <w:t xml:space="preserve"> tarihinde belirlenen gösterge niteliğindeki Türkiye Cumhuriyet Merkez Bankası efektif satış kuru kullanılarak hesaplanan Türk parası cinsinden karşılığının 2/1/2018 tarihinden bedellerin yeniden belirlendiği tarihe kadar Türkiye İstatistik Kurumunun her ay için belirlediği tüketici fiyat endeksi (TÜFE) aylık değişim oranları esas alınarak artırılması suretiyle belirlenir.</w:t>
                  </w:r>
                </w:p>
                <w:p w:rsidR="00FA0ABD" w:rsidRPr="00514315" w:rsidRDefault="00FA0ABD" w:rsidP="00514315">
                  <w:pPr>
                    <w:spacing w:line="240" w:lineRule="atLeast"/>
                    <w:ind w:firstLine="566"/>
                    <w:jc w:val="both"/>
                    <w:rPr>
                      <w:rFonts w:ascii="Times New Roman" w:eastAsia="Times New Roman" w:hAnsi="Times New Roman"/>
                      <w:sz w:val="19"/>
                      <w:szCs w:val="19"/>
                      <w:lang w:eastAsia="tr-TR"/>
                    </w:rPr>
                  </w:pPr>
                  <w:r w:rsidRPr="00514315">
                    <w:rPr>
                      <w:rFonts w:ascii="Times New Roman" w:eastAsia="Times New Roman" w:hAnsi="Times New Roman"/>
                      <w:sz w:val="18"/>
                      <w:szCs w:val="18"/>
                      <w:lang w:eastAsia="tr-TR"/>
                    </w:rPr>
                    <w:t xml:space="preserve">Türk Parası Kıymetini Koruma Hakkında 32 Sayılı Kararın Geçici 8 inci maddesinin yürürlüğe girdiği tarihten önce akdedilen konut ve çatılı iş yeri kira sözleşmelerinde döviz veya dövize endeksli olarak belirlenen bedeller bu fıkranın ilk paragrafına göre iki yıllık süre için Türk parası olarak belirlenir. </w:t>
                  </w:r>
                  <w:proofErr w:type="gramStart"/>
                  <w:r w:rsidRPr="00514315">
                    <w:rPr>
                      <w:rFonts w:ascii="Times New Roman" w:eastAsia="Times New Roman" w:hAnsi="Times New Roman"/>
                      <w:sz w:val="18"/>
                      <w:szCs w:val="18"/>
                      <w:lang w:eastAsia="tr-TR"/>
                    </w:rPr>
                    <w:t>Ancak, Türk parası olarak belirlemenin yapıldığı kira yılının sonundan itibaren bir yıl geçerli olmak üzere; anılan paragraf uyarınca Türk parası olarak belirlenen kira bedeli, taraflarca belirlenirken mutabakata varılamazsa, belirleme tarihinden belirlemenin yapıldığı kira yılının sonuna kadar Türkiye İstatistik Kurumunun her ay için belirlediği tüketici fiyat endeksi (TÜFE) aylık değişim oranları esas alınarak artırılması yoluyla belirlenir. Bir sonraki kira yılı Türk parası cinsinden kira bedeli ise, taraflarca belirlenirken mutabakata varılamazsa, önceki kira yılında geçerli olan kira bedelinin Türkiye İstatistik Kurumunun belirlediği tüketici fiyat endeksi (TÜFE) aylık değişim oranları esas alınarak artırılması yoluyla belirlenir ve belirlenen Türk parası cinsinden kira bedeli bu fıkrada belirtilen iki yıllık sürenin sonuna kadar geçerli olur.</w:t>
                  </w:r>
                  <w:proofErr w:type="gramEnd"/>
                </w:p>
                <w:p w:rsidR="00FA0ABD" w:rsidRPr="00514315" w:rsidRDefault="00FA0ABD" w:rsidP="00514315">
                  <w:pPr>
                    <w:spacing w:line="240" w:lineRule="atLeast"/>
                    <w:ind w:firstLine="566"/>
                    <w:jc w:val="both"/>
                    <w:rPr>
                      <w:rFonts w:ascii="Times New Roman" w:eastAsia="Times New Roman" w:hAnsi="Times New Roman"/>
                      <w:sz w:val="19"/>
                      <w:szCs w:val="19"/>
                      <w:lang w:eastAsia="tr-TR"/>
                    </w:rPr>
                  </w:pPr>
                  <w:r w:rsidRPr="00514315">
                    <w:rPr>
                      <w:rFonts w:ascii="Times New Roman" w:eastAsia="Times New Roman" w:hAnsi="Times New Roman"/>
                      <w:sz w:val="18"/>
                      <w:szCs w:val="18"/>
                      <w:lang w:eastAsia="tr-TR"/>
                    </w:rPr>
                    <w:t>Bu fıkra hükmü, bu madde uyarınca sözleşme bedeli ve bu sözleşmelerden kaynaklanan diğer ödeme yükümlülükleri döviz cinsinden veya dövize endeksli olarak kararlaştırılması mümkün olmayan sözleşmelerde tahsili yapılmış veya gecikmiş alacaklar için uygulanmaz.</w:t>
                  </w:r>
                </w:p>
                <w:p w:rsidR="00FA0ABD" w:rsidRPr="00514315" w:rsidRDefault="00FA0ABD" w:rsidP="00514315">
                  <w:pPr>
                    <w:spacing w:line="240" w:lineRule="atLeast"/>
                    <w:ind w:firstLine="566"/>
                    <w:jc w:val="both"/>
                    <w:rPr>
                      <w:rFonts w:ascii="Times New Roman" w:eastAsia="Times New Roman" w:hAnsi="Times New Roman"/>
                      <w:sz w:val="19"/>
                      <w:szCs w:val="19"/>
                      <w:lang w:eastAsia="tr-TR"/>
                    </w:rPr>
                  </w:pPr>
                  <w:proofErr w:type="gramStart"/>
                  <w:r w:rsidRPr="00514315">
                    <w:rPr>
                      <w:rFonts w:ascii="Times New Roman" w:eastAsia="Times New Roman" w:hAnsi="Times New Roman"/>
                      <w:sz w:val="18"/>
                      <w:szCs w:val="18"/>
                      <w:lang w:eastAsia="tr-TR"/>
                    </w:rPr>
                    <w:t>(25) Bu maddede, istisna tanınan tarafların mutabakatıyla yeni yapılacak sözleşmelerin Türk parası cinsinden yapılmasını veya mevcut döviz cinsinden veya dövize endeksli sözleşmelerde yer alan bedellerin Türk Parası Kıymetini Koruma Hakkında 32 Sayılı Kararın Geçici 8 inci maddesi uyarınca Türk parası olarak yeniden kararlaştırılmasını talep etmesi durumunda sözleşmelerde yer alan bedeller Türk parası cinsinden kararlaştırılır.”</w:t>
                  </w:r>
                  <w:proofErr w:type="gramEnd"/>
                </w:p>
                <w:p w:rsidR="00FA0ABD" w:rsidRPr="00514315" w:rsidRDefault="00FA0ABD" w:rsidP="00514315">
                  <w:pPr>
                    <w:spacing w:line="240" w:lineRule="atLeast"/>
                    <w:ind w:firstLine="566"/>
                    <w:jc w:val="both"/>
                    <w:rPr>
                      <w:rFonts w:ascii="Times New Roman" w:eastAsia="Times New Roman" w:hAnsi="Times New Roman"/>
                      <w:sz w:val="19"/>
                      <w:szCs w:val="19"/>
                      <w:lang w:eastAsia="tr-TR"/>
                    </w:rPr>
                  </w:pPr>
                  <w:r w:rsidRPr="00514315">
                    <w:rPr>
                      <w:rFonts w:ascii="Times New Roman" w:eastAsia="Times New Roman" w:hAnsi="Times New Roman"/>
                      <w:b/>
                      <w:bCs/>
                      <w:sz w:val="18"/>
                      <w:szCs w:val="18"/>
                      <w:lang w:eastAsia="tr-TR"/>
                    </w:rPr>
                    <w:t>MADDE 2 –</w:t>
                  </w:r>
                  <w:r w:rsidRPr="00514315">
                    <w:rPr>
                      <w:rFonts w:ascii="Times New Roman" w:eastAsia="Times New Roman" w:hAnsi="Times New Roman"/>
                      <w:sz w:val="18"/>
                      <w:szCs w:val="18"/>
                      <w:lang w:eastAsia="tr-TR"/>
                    </w:rPr>
                    <w:t> Bu Tebliğ yayımı tarihinde yürürlüğe girer.</w:t>
                  </w:r>
                </w:p>
                <w:p w:rsidR="00FA0ABD" w:rsidRPr="00514315" w:rsidRDefault="00FA0ABD" w:rsidP="00514315">
                  <w:pPr>
                    <w:spacing w:line="240" w:lineRule="atLeast"/>
                    <w:ind w:firstLine="566"/>
                    <w:jc w:val="both"/>
                    <w:rPr>
                      <w:rFonts w:ascii="Times New Roman" w:eastAsia="Times New Roman" w:hAnsi="Times New Roman"/>
                      <w:sz w:val="19"/>
                      <w:szCs w:val="19"/>
                      <w:lang w:eastAsia="tr-TR"/>
                    </w:rPr>
                  </w:pPr>
                  <w:r w:rsidRPr="00514315">
                    <w:rPr>
                      <w:rFonts w:ascii="Times New Roman" w:eastAsia="Times New Roman" w:hAnsi="Times New Roman"/>
                      <w:b/>
                      <w:bCs/>
                      <w:sz w:val="18"/>
                      <w:szCs w:val="18"/>
                      <w:lang w:eastAsia="tr-TR"/>
                    </w:rPr>
                    <w:t>MADDE 3 –</w:t>
                  </w:r>
                  <w:r w:rsidRPr="00514315">
                    <w:rPr>
                      <w:rFonts w:ascii="Times New Roman" w:eastAsia="Times New Roman" w:hAnsi="Times New Roman"/>
                      <w:sz w:val="18"/>
                      <w:szCs w:val="18"/>
                      <w:lang w:eastAsia="tr-TR"/>
                    </w:rPr>
                    <w:t> Bu Tebliğ hükümlerini Hazine ve Maliye Bakanı yürütür.</w:t>
                  </w:r>
                </w:p>
                <w:p w:rsidR="00FA0ABD" w:rsidRPr="00514315" w:rsidRDefault="00FA0ABD" w:rsidP="00514315">
                  <w:pPr>
                    <w:spacing w:before="100" w:beforeAutospacing="1" w:after="100" w:afterAutospacing="1"/>
                    <w:jc w:val="center"/>
                    <w:rPr>
                      <w:rFonts w:ascii="Times New Roman" w:eastAsia="Times New Roman" w:hAnsi="Times New Roman"/>
                      <w:sz w:val="24"/>
                      <w:szCs w:val="24"/>
                      <w:lang w:eastAsia="tr-TR"/>
                    </w:rPr>
                  </w:pPr>
                  <w:r w:rsidRPr="00514315">
                    <w:rPr>
                      <w:rFonts w:ascii="Arial" w:eastAsia="Times New Roman" w:hAnsi="Arial" w:cs="Arial"/>
                      <w:b/>
                      <w:bCs/>
                      <w:color w:val="000080"/>
                      <w:sz w:val="18"/>
                      <w:szCs w:val="18"/>
                      <w:lang w:eastAsia="tr-TR"/>
                    </w:rPr>
                    <w:t> </w:t>
                  </w:r>
                </w:p>
              </w:tc>
            </w:tr>
          </w:tbl>
          <w:p w:rsidR="00FA0ABD" w:rsidRPr="00514315" w:rsidRDefault="00FA0ABD" w:rsidP="00514315">
            <w:pPr>
              <w:rPr>
                <w:rFonts w:ascii="Times New Roman" w:eastAsia="Times New Roman" w:hAnsi="Times New Roman"/>
                <w:sz w:val="24"/>
                <w:szCs w:val="24"/>
                <w:lang w:eastAsia="tr-TR"/>
              </w:rPr>
            </w:pPr>
          </w:p>
        </w:tc>
      </w:tr>
    </w:tbl>
    <w:p w:rsidR="00FA0ABD" w:rsidRPr="00514315" w:rsidRDefault="00FA0ABD" w:rsidP="00FA0ABD">
      <w:pPr>
        <w:jc w:val="center"/>
        <w:rPr>
          <w:rFonts w:ascii="Times New Roman" w:eastAsia="Times New Roman" w:hAnsi="Times New Roman"/>
          <w:color w:val="000000"/>
          <w:sz w:val="27"/>
          <w:szCs w:val="27"/>
          <w:lang w:eastAsia="tr-TR"/>
        </w:rPr>
      </w:pPr>
      <w:r w:rsidRPr="00514315">
        <w:rPr>
          <w:rFonts w:ascii="Times New Roman" w:eastAsia="Times New Roman" w:hAnsi="Times New Roman"/>
          <w:color w:val="000000"/>
          <w:sz w:val="27"/>
          <w:szCs w:val="27"/>
          <w:lang w:eastAsia="tr-TR"/>
        </w:rPr>
        <w:t> </w:t>
      </w:r>
    </w:p>
    <w:p w:rsidR="00FA0ABD" w:rsidRPr="00514315" w:rsidRDefault="00FA0ABD" w:rsidP="00FA0ABD">
      <w:pPr>
        <w:pStyle w:val="SonnotMetni"/>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明朝 Pro W3">
    <w:panose1 w:val="00000000000000000000"/>
    <w:charset w:val="80"/>
    <w:family w:val="auto"/>
    <w:notTrueType/>
    <w:pitch w:val="variable"/>
    <w:sig w:usb0="00000001" w:usb1="08070000" w:usb2="00000010" w:usb3="00000000" w:csb0="00020000" w:csb1="00000000"/>
  </w:font>
  <w:font w:name="Times">
    <w:altName w:val="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D9A" w:rsidRPr="004655F5" w:rsidRDefault="00E02D9A" w:rsidP="00EF2A59">
    <w:pPr>
      <w:pStyle w:val="Altbilgi"/>
      <w:tabs>
        <w:tab w:val="clear" w:pos="4536"/>
        <w:tab w:val="clear" w:pos="9072"/>
        <w:tab w:val="center" w:pos="4818"/>
        <w:tab w:val="right" w:pos="9637"/>
      </w:tabs>
      <w:rPr>
        <w:lang w:val="tr-TR"/>
      </w:rPr>
    </w:pPr>
    <w:r>
      <w:rPr>
        <w:lang w:val="tr-TR"/>
      </w:rPr>
      <w:t>--------------------------------------------------------------------------------------------------------------------------------------------------------</w:t>
    </w:r>
  </w:p>
  <w:tbl>
    <w:tblPr>
      <w:tblW w:w="9578" w:type="dxa"/>
      <w:jc w:val="center"/>
      <w:tblLook w:val="04A0" w:firstRow="1" w:lastRow="0" w:firstColumn="1" w:lastColumn="0" w:noHBand="0" w:noVBand="1"/>
    </w:tblPr>
    <w:tblGrid>
      <w:gridCol w:w="9356"/>
      <w:gridCol w:w="222"/>
    </w:tblGrid>
    <w:tr w:rsidR="00E02D9A" w:rsidTr="00C32B90">
      <w:trPr>
        <w:trHeight w:val="853"/>
        <w:jc w:val="center"/>
      </w:trPr>
      <w:tc>
        <w:tcPr>
          <w:tcW w:w="9356" w:type="dxa"/>
        </w:tcPr>
        <w:p w:rsidR="00E02D9A" w:rsidRDefault="00E02D9A" w:rsidP="00732983">
          <w:pPr>
            <w:autoSpaceDE w:val="0"/>
            <w:autoSpaceDN w:val="0"/>
            <w:adjustRightInd w:val="0"/>
            <w:contextualSpacing/>
            <w:rPr>
              <w:rFonts w:ascii="Times New Roman" w:hAnsi="Times New Roman"/>
              <w:bCs/>
              <w:color w:val="000000"/>
              <w:sz w:val="20"/>
              <w:szCs w:val="20"/>
            </w:rPr>
          </w:pPr>
          <w:r w:rsidRPr="00AC15A3">
            <w:rPr>
              <w:rFonts w:ascii="Times New Roman" w:hAnsi="Times New Roman"/>
              <w:bCs/>
              <w:color w:val="000000"/>
              <w:sz w:val="20"/>
              <w:szCs w:val="20"/>
            </w:rPr>
            <w:t>Mutlukent Mah</w:t>
          </w:r>
          <w:r>
            <w:rPr>
              <w:rFonts w:ascii="Times New Roman" w:hAnsi="Times New Roman"/>
              <w:bCs/>
              <w:color w:val="000000"/>
              <w:sz w:val="20"/>
              <w:szCs w:val="20"/>
            </w:rPr>
            <w:t xml:space="preserve">allesi </w:t>
          </w:r>
          <w:r w:rsidRPr="00AC15A3">
            <w:rPr>
              <w:rFonts w:ascii="Times New Roman" w:hAnsi="Times New Roman"/>
              <w:bCs/>
              <w:color w:val="000000"/>
              <w:sz w:val="20"/>
              <w:szCs w:val="20"/>
            </w:rPr>
            <w:t>1978.</w:t>
          </w:r>
          <w:r>
            <w:rPr>
              <w:rFonts w:ascii="Times New Roman" w:hAnsi="Times New Roman"/>
              <w:bCs/>
              <w:color w:val="000000"/>
              <w:sz w:val="20"/>
              <w:szCs w:val="20"/>
            </w:rPr>
            <w:t xml:space="preserve"> </w:t>
          </w:r>
          <w:r w:rsidRPr="00AC15A3">
            <w:rPr>
              <w:rFonts w:ascii="Times New Roman" w:hAnsi="Times New Roman"/>
              <w:bCs/>
              <w:color w:val="000000"/>
              <w:sz w:val="20"/>
              <w:szCs w:val="20"/>
            </w:rPr>
            <w:t>Cad</w:t>
          </w:r>
          <w:r>
            <w:rPr>
              <w:rFonts w:ascii="Times New Roman" w:hAnsi="Times New Roman"/>
              <w:bCs/>
              <w:color w:val="000000"/>
              <w:sz w:val="20"/>
              <w:szCs w:val="20"/>
            </w:rPr>
            <w:t>de No:</w:t>
          </w:r>
          <w:r w:rsidRPr="00AC15A3">
            <w:rPr>
              <w:rFonts w:ascii="Times New Roman" w:hAnsi="Times New Roman"/>
              <w:bCs/>
              <w:color w:val="000000"/>
              <w:sz w:val="20"/>
              <w:szCs w:val="20"/>
            </w:rPr>
            <w:t xml:space="preserve">14 </w:t>
          </w:r>
          <w:r>
            <w:rPr>
              <w:rFonts w:ascii="Times New Roman" w:hAnsi="Times New Roman"/>
              <w:bCs/>
              <w:color w:val="000000"/>
              <w:sz w:val="20"/>
              <w:szCs w:val="20"/>
            </w:rPr>
            <w:t xml:space="preserve">– 06810 - </w:t>
          </w:r>
          <w:r w:rsidRPr="00AC15A3">
            <w:rPr>
              <w:rFonts w:ascii="Times New Roman" w:hAnsi="Times New Roman"/>
              <w:bCs/>
              <w:color w:val="000000"/>
              <w:sz w:val="20"/>
              <w:szCs w:val="20"/>
            </w:rPr>
            <w:t>Ümitköy</w:t>
          </w:r>
          <w:r>
            <w:rPr>
              <w:rFonts w:ascii="Times New Roman" w:hAnsi="Times New Roman"/>
              <w:bCs/>
              <w:color w:val="000000"/>
              <w:sz w:val="20"/>
              <w:szCs w:val="20"/>
            </w:rPr>
            <w:t>/</w:t>
          </w:r>
          <w:r w:rsidRPr="00AC15A3">
            <w:rPr>
              <w:rFonts w:ascii="Times New Roman" w:hAnsi="Times New Roman"/>
              <w:bCs/>
              <w:color w:val="000000"/>
              <w:sz w:val="20"/>
              <w:szCs w:val="20"/>
            </w:rPr>
            <w:t>Ankara</w:t>
          </w:r>
          <w:r>
            <w:rPr>
              <w:rFonts w:ascii="Times New Roman" w:hAnsi="Times New Roman"/>
              <w:bCs/>
              <w:color w:val="000000"/>
              <w:sz w:val="20"/>
              <w:szCs w:val="20"/>
            </w:rPr>
            <w:t xml:space="preserve"> </w:t>
          </w:r>
          <w:r w:rsidRPr="00AC15A3">
            <w:rPr>
              <w:rFonts w:ascii="Times New Roman" w:hAnsi="Times New Roman"/>
              <w:bCs/>
              <w:color w:val="000000"/>
              <w:sz w:val="20"/>
              <w:szCs w:val="20"/>
            </w:rPr>
            <w:t>Tel</w:t>
          </w:r>
          <w:r w:rsidRPr="00BD05E7">
            <w:rPr>
              <w:rFonts w:ascii="Times New Roman" w:hAnsi="Times New Roman"/>
              <w:bCs/>
              <w:color w:val="000000"/>
              <w:sz w:val="20"/>
              <w:szCs w:val="20"/>
            </w:rPr>
            <w:t xml:space="preserve"> </w:t>
          </w:r>
          <w:r>
            <w:rPr>
              <w:rFonts w:ascii="Times New Roman" w:hAnsi="Times New Roman"/>
              <w:bCs/>
              <w:color w:val="000000"/>
              <w:sz w:val="20"/>
              <w:szCs w:val="20"/>
            </w:rPr>
            <w:t>&amp; Fax : +90 312 441 56 60 -</w:t>
          </w:r>
          <w:r w:rsidR="00EA7189">
            <w:rPr>
              <w:rFonts w:ascii="Times New Roman" w:hAnsi="Times New Roman"/>
              <w:bCs/>
              <w:color w:val="000000"/>
              <w:sz w:val="20"/>
              <w:szCs w:val="20"/>
            </w:rPr>
            <w:t xml:space="preserve"> </w:t>
          </w:r>
          <w:r w:rsidRPr="00AC15A3">
            <w:rPr>
              <w:rFonts w:ascii="Times New Roman" w:hAnsi="Times New Roman"/>
              <w:bCs/>
              <w:color w:val="000000"/>
              <w:sz w:val="20"/>
              <w:szCs w:val="20"/>
            </w:rPr>
            <w:t>441 32 12</w:t>
          </w:r>
          <w:r w:rsidR="00EA7189">
            <w:rPr>
              <w:rFonts w:ascii="Times New Roman" w:hAnsi="Times New Roman"/>
              <w:bCs/>
              <w:color w:val="000000"/>
              <w:sz w:val="20"/>
              <w:szCs w:val="20"/>
            </w:rPr>
            <w:t xml:space="preserve"> </w:t>
          </w:r>
        </w:p>
        <w:p w:rsidR="00E02D9A" w:rsidRDefault="00E02D9A" w:rsidP="00C32B90">
          <w:pPr>
            <w:autoSpaceDE w:val="0"/>
            <w:autoSpaceDN w:val="0"/>
            <w:adjustRightInd w:val="0"/>
            <w:contextualSpacing/>
            <w:jc w:val="center"/>
            <w:rPr>
              <w:rFonts w:ascii="Times New Roman" w:hAnsi="Times New Roman"/>
              <w:bCs/>
              <w:color w:val="000000"/>
              <w:sz w:val="20"/>
              <w:szCs w:val="20"/>
            </w:rPr>
          </w:pPr>
          <w:r w:rsidRPr="00AC15A3">
            <w:rPr>
              <w:rFonts w:ascii="Times New Roman" w:hAnsi="Times New Roman"/>
              <w:bCs/>
              <w:color w:val="000000"/>
              <w:sz w:val="20"/>
              <w:szCs w:val="20"/>
            </w:rPr>
            <w:t xml:space="preserve">Email: </w:t>
          </w:r>
          <w:hyperlink r:id="rId1" w:history="1">
            <w:r>
              <w:rPr>
                <w:rStyle w:val="Kpr"/>
                <w:rFonts w:ascii="Times New Roman" w:hAnsi="Times New Roman"/>
                <w:bCs/>
                <w:sz w:val="20"/>
                <w:szCs w:val="20"/>
              </w:rPr>
              <w:t>meridyendenetim.gmail.com</w:t>
            </w:r>
          </w:hyperlink>
        </w:p>
        <w:p w:rsidR="00E02D9A" w:rsidRDefault="00E02D9A" w:rsidP="00732983">
          <w:pPr>
            <w:pStyle w:val="Altbilgi"/>
          </w:pPr>
        </w:p>
      </w:tc>
      <w:tc>
        <w:tcPr>
          <w:tcW w:w="0" w:type="auto"/>
        </w:tcPr>
        <w:p w:rsidR="00E02D9A" w:rsidRPr="00D27198" w:rsidRDefault="00E02D9A" w:rsidP="00732983">
          <w:pPr>
            <w:pStyle w:val="Altbilgi"/>
            <w:rPr>
              <w:lang w:val="tr-TR"/>
            </w:rPr>
          </w:pPr>
        </w:p>
      </w:tc>
    </w:tr>
  </w:tbl>
  <w:p w:rsidR="00E02D9A" w:rsidRPr="004655F5" w:rsidRDefault="00E02D9A" w:rsidP="00732983">
    <w:pPr>
      <w:pStyle w:val="Altbilgi"/>
      <w:tabs>
        <w:tab w:val="clear" w:pos="4536"/>
        <w:tab w:val="clear" w:pos="9072"/>
        <w:tab w:val="center" w:pos="4818"/>
        <w:tab w:val="right" w:pos="9637"/>
      </w:tabs>
      <w:rPr>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0C9" w:rsidRDefault="00B470C9" w:rsidP="008B1AF4">
      <w:r>
        <w:separator/>
      </w:r>
    </w:p>
  </w:footnote>
  <w:footnote w:type="continuationSeparator" w:id="0">
    <w:p w:rsidR="00B470C9" w:rsidRDefault="00B470C9" w:rsidP="008B1AF4">
      <w:r>
        <w:continuationSeparator/>
      </w:r>
    </w:p>
  </w:footnote>
  <w:footnote w:id="1">
    <w:p w:rsidR="00FA0ABD" w:rsidRPr="000B0E27" w:rsidRDefault="00FA0ABD" w:rsidP="00FA0ABD">
      <w:pPr>
        <w:pStyle w:val="DipnotMetni"/>
      </w:pPr>
      <w:r>
        <w:rPr>
          <w:rStyle w:val="DipnotBavurusu"/>
        </w:rPr>
        <w:footnoteRef/>
      </w:r>
      <w:r>
        <w:t xml:space="preserve"> </w:t>
      </w:r>
      <w:r w:rsidRPr="000B0E27">
        <w:t xml:space="preserve">Söz konusu bent aşağıdaki gibidir. </w:t>
      </w:r>
    </w:p>
    <w:p w:rsidR="00FA0ABD" w:rsidRDefault="00FA0ABD" w:rsidP="00FA0ABD">
      <w:pPr>
        <w:pStyle w:val="DipnotMetni"/>
      </w:pPr>
    </w:p>
    <w:p w:rsidR="00FA0ABD" w:rsidRPr="000B0E27" w:rsidRDefault="00FA0ABD" w:rsidP="00FA0ABD">
      <w:pPr>
        <w:pStyle w:val="NormalWeb"/>
        <w:shd w:val="clear" w:color="auto" w:fill="FFFFFF"/>
        <w:jc w:val="both"/>
        <w:rPr>
          <w:bCs/>
          <w:sz w:val="20"/>
          <w:szCs w:val="20"/>
        </w:rPr>
      </w:pPr>
      <w:proofErr w:type="gramStart"/>
      <w:r w:rsidRPr="000B0E27">
        <w:rPr>
          <w:b/>
          <w:bCs/>
          <w:sz w:val="20"/>
          <w:szCs w:val="20"/>
        </w:rPr>
        <w:t xml:space="preserve">g) </w:t>
      </w:r>
      <w:r w:rsidRPr="000B0E27">
        <w:rPr>
          <w:sz w:val="20"/>
          <w:szCs w:val="20"/>
        </w:rPr>
        <w:t xml:space="preserve">(Ek: 2018/85 – 13.09.2018/ m.1) </w:t>
      </w:r>
      <w:r w:rsidRPr="000B0E27">
        <w:rPr>
          <w:bCs/>
          <w:sz w:val="20"/>
          <w:szCs w:val="20"/>
        </w:rPr>
        <w:t>Türkiye’de yerleşik kişilerin, Bakanlıkça belirlenen haller dışında, kendi aralarında menkul ve gayrimenkul alım satım, taşıt ve finansal kiralama dâhil her türlü menkul ve gayrimenkul kiralama, leasing ile iş, hizmet ve eser sözleşmelerinde sözleşme bedeli ve bu sözleşmelerden kaynaklanan diğer ödeme yükümlülükleri döviz cinsinden veya dövize endeksli olarak kararlaştırılamaz.</w:t>
      </w:r>
      <w:proofErr w:type="gramEnd"/>
    </w:p>
    <w:p w:rsidR="00FA0ABD" w:rsidRPr="000B0E27" w:rsidRDefault="00FA0ABD" w:rsidP="00FA0ABD">
      <w:pPr>
        <w:pStyle w:val="DipnotMetni"/>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D9A" w:rsidRPr="00081424" w:rsidRDefault="00EA7189" w:rsidP="004655F5">
    <w:pPr>
      <w:autoSpaceDE w:val="0"/>
      <w:autoSpaceDN w:val="0"/>
      <w:adjustRightInd w:val="0"/>
      <w:contextualSpacing/>
      <w:rPr>
        <w:rFonts w:ascii="Times New Roman" w:hAnsi="Times New Roman"/>
        <w:b/>
        <w:sz w:val="16"/>
        <w:szCs w:val="16"/>
      </w:rPr>
    </w:pPr>
    <w:r>
      <w:t xml:space="preserve"> </w:t>
    </w:r>
    <w:r w:rsidR="00E02D9A" w:rsidRPr="00081424">
      <w:rPr>
        <w:rFonts w:ascii="Times New Roman" w:hAnsi="Times New Roman"/>
        <w:b/>
        <w:noProof/>
        <w:sz w:val="16"/>
        <w:szCs w:val="16"/>
        <w:lang w:eastAsia="tr-TR"/>
      </w:rPr>
      <w:drawing>
        <wp:inline distT="0" distB="0" distL="0" distR="0">
          <wp:extent cx="3172460" cy="621030"/>
          <wp:effectExtent l="0" t="0" r="8890" b="7620"/>
          <wp:docPr id="2" name="Resim 1" descr="meridy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idye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2460" cy="621030"/>
                  </a:xfrm>
                  <a:prstGeom prst="rect">
                    <a:avLst/>
                  </a:prstGeom>
                  <a:noFill/>
                  <a:ln>
                    <a:noFill/>
                  </a:ln>
                </pic:spPr>
              </pic:pic>
            </a:graphicData>
          </a:graphic>
        </wp:inline>
      </w:drawing>
    </w:r>
    <w:r w:rsidR="008451DA">
      <w:rPr>
        <w:rFonts w:ascii="Times New Roman" w:hAnsi="Times New Roman"/>
        <w:b/>
        <w:sz w:val="16"/>
        <w:szCs w:val="16"/>
      </w:rPr>
      <w:t xml:space="preserve"> </w:t>
    </w:r>
  </w:p>
  <w:p w:rsidR="00E02D9A" w:rsidRDefault="00E02D9A" w:rsidP="004655F5">
    <w:pPr>
      <w:autoSpaceDE w:val="0"/>
      <w:autoSpaceDN w:val="0"/>
      <w:adjustRightInd w:val="0"/>
      <w:contextualSpacing/>
    </w:pPr>
    <w:r>
      <w:rPr>
        <w:rFonts w:ascii="Times New Roman" w:hAnsi="Times New Roman"/>
        <w:b/>
        <w:color w:val="000000"/>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63641"/>
    <w:multiLevelType w:val="hybridMultilevel"/>
    <w:tmpl w:val="1E560A40"/>
    <w:lvl w:ilvl="0" w:tplc="F8A6BBB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4B74B8"/>
    <w:multiLevelType w:val="hybridMultilevel"/>
    <w:tmpl w:val="6882BF80"/>
    <w:lvl w:ilvl="0" w:tplc="FF2CF868">
      <w:start w:val="710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E821B6"/>
    <w:multiLevelType w:val="hybridMultilevel"/>
    <w:tmpl w:val="08144688"/>
    <w:lvl w:ilvl="0" w:tplc="55EA6EA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CD3E90"/>
    <w:multiLevelType w:val="hybridMultilevel"/>
    <w:tmpl w:val="B33A45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13425F"/>
    <w:multiLevelType w:val="hybridMultilevel"/>
    <w:tmpl w:val="EC9A5A44"/>
    <w:lvl w:ilvl="0" w:tplc="5B3442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0792F"/>
    <w:multiLevelType w:val="hybridMultilevel"/>
    <w:tmpl w:val="BF0495E0"/>
    <w:lvl w:ilvl="0" w:tplc="5B344226">
      <w:start w:val="1"/>
      <w:numFmt w:val="bullet"/>
      <w:lvlText w:val=""/>
      <w:lvlJc w:val="left"/>
      <w:pPr>
        <w:ind w:left="1286"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EE7427C"/>
    <w:multiLevelType w:val="hybridMultilevel"/>
    <w:tmpl w:val="75B6498C"/>
    <w:lvl w:ilvl="0" w:tplc="A82AFE10">
      <w:numFmt w:val="bullet"/>
      <w:lvlText w:val="–"/>
      <w:lvlJc w:val="left"/>
      <w:pPr>
        <w:ind w:left="1125" w:hanging="765"/>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34185"/>
    <w:multiLevelType w:val="hybridMultilevel"/>
    <w:tmpl w:val="99666EB0"/>
    <w:lvl w:ilvl="0" w:tplc="6E94A078">
      <w:numFmt w:val="bullet"/>
      <w:lvlText w:val="-"/>
      <w:lvlJc w:val="left"/>
      <w:pPr>
        <w:ind w:left="720" w:hanging="360"/>
      </w:pPr>
      <w:rPr>
        <w:rFonts w:ascii="Arial Unicode MS" w:eastAsia="Arial Unicode MS" w:hAnsi="Arial Unicode MS" w:cs="Arial Unicode MS"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1EC04CE"/>
    <w:multiLevelType w:val="hybridMultilevel"/>
    <w:tmpl w:val="23920198"/>
    <w:lvl w:ilvl="0" w:tplc="3626A490">
      <w:start w:val="1"/>
      <w:numFmt w:val="bullet"/>
      <w:lvlText w:val="—"/>
      <w:lvlJc w:val="left"/>
      <w:pPr>
        <w:ind w:left="720" w:hanging="360"/>
      </w:pPr>
      <w:rPr>
        <w:rFonts w:ascii="Cambria" w:hAnsi="Cambri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8456A8"/>
    <w:multiLevelType w:val="hybridMultilevel"/>
    <w:tmpl w:val="6E923668"/>
    <w:lvl w:ilvl="0" w:tplc="BD0C1BB4">
      <w:start w:val="1"/>
      <w:numFmt w:val="bullet"/>
      <w:lvlText w:val="-"/>
      <w:lvlJc w:val="left"/>
      <w:pPr>
        <w:ind w:left="720" w:hanging="360"/>
      </w:pPr>
      <w:rPr>
        <w:rFonts w:ascii="SimSun" w:eastAsia="SimSun" w:hAnsi="SimSun"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3337C7"/>
    <w:multiLevelType w:val="hybridMultilevel"/>
    <w:tmpl w:val="3886ED8A"/>
    <w:lvl w:ilvl="0" w:tplc="55EA6EA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D474A46"/>
    <w:multiLevelType w:val="hybridMultilevel"/>
    <w:tmpl w:val="1BEA6060"/>
    <w:lvl w:ilvl="0" w:tplc="4D9A9516">
      <w:numFmt w:val="bullet"/>
      <w:lvlText w:val="–"/>
      <w:lvlJc w:val="left"/>
      <w:pPr>
        <w:ind w:left="1065" w:hanging="705"/>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F4749"/>
    <w:multiLevelType w:val="hybridMultilevel"/>
    <w:tmpl w:val="EC3C749A"/>
    <w:lvl w:ilvl="0" w:tplc="8F728BCE">
      <w:numFmt w:val="bullet"/>
      <w:lvlText w:val="—"/>
      <w:lvlJc w:val="left"/>
      <w:pPr>
        <w:ind w:left="1065" w:hanging="705"/>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34925A5"/>
    <w:multiLevelType w:val="hybridMultilevel"/>
    <w:tmpl w:val="D564EDAC"/>
    <w:lvl w:ilvl="0" w:tplc="5B34422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64B1AA0"/>
    <w:multiLevelType w:val="hybridMultilevel"/>
    <w:tmpl w:val="3540500C"/>
    <w:lvl w:ilvl="0" w:tplc="6E94A078">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24E7A"/>
    <w:multiLevelType w:val="hybridMultilevel"/>
    <w:tmpl w:val="3140F01C"/>
    <w:lvl w:ilvl="0" w:tplc="F2CC2546">
      <w:start w:val="2017"/>
      <w:numFmt w:val="bullet"/>
      <w:lvlText w:val="—"/>
      <w:lvlJc w:val="left"/>
      <w:pPr>
        <w:ind w:left="1065" w:hanging="705"/>
      </w:pPr>
      <w:rPr>
        <w:rFonts w:ascii="Arial" w:eastAsia="Arial Unicode MS"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C6F3E24"/>
    <w:multiLevelType w:val="hybridMultilevel"/>
    <w:tmpl w:val="5510AB58"/>
    <w:lvl w:ilvl="0" w:tplc="E2208B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CD908DE"/>
    <w:multiLevelType w:val="hybridMultilevel"/>
    <w:tmpl w:val="CC265B50"/>
    <w:lvl w:ilvl="0" w:tplc="7C50781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DDD7F91"/>
    <w:multiLevelType w:val="hybridMultilevel"/>
    <w:tmpl w:val="3FE0CEF8"/>
    <w:lvl w:ilvl="0" w:tplc="BD0C1BB4">
      <w:start w:val="1"/>
      <w:numFmt w:val="bullet"/>
      <w:lvlText w:val="-"/>
      <w:lvlJc w:val="left"/>
      <w:pPr>
        <w:ind w:left="720" w:hanging="360"/>
      </w:pPr>
      <w:rPr>
        <w:rFonts w:ascii="SimSun" w:eastAsia="SimSun" w:hAnsi="SimSun"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58B2BC1"/>
    <w:multiLevelType w:val="hybridMultilevel"/>
    <w:tmpl w:val="8774FD44"/>
    <w:lvl w:ilvl="0" w:tplc="0409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7FE0E19"/>
    <w:multiLevelType w:val="hybridMultilevel"/>
    <w:tmpl w:val="172A26CC"/>
    <w:lvl w:ilvl="0" w:tplc="E2208B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B106CCB"/>
    <w:multiLevelType w:val="hybridMultilevel"/>
    <w:tmpl w:val="FE42ACD0"/>
    <w:lvl w:ilvl="0" w:tplc="B20024A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B46EB"/>
    <w:multiLevelType w:val="hybridMultilevel"/>
    <w:tmpl w:val="CE5E7A6A"/>
    <w:lvl w:ilvl="0" w:tplc="62D8721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6640C38"/>
    <w:multiLevelType w:val="hybridMultilevel"/>
    <w:tmpl w:val="E33AE3A4"/>
    <w:lvl w:ilvl="0" w:tplc="55EA6EA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B521BA8"/>
    <w:multiLevelType w:val="hybridMultilevel"/>
    <w:tmpl w:val="6B005BFC"/>
    <w:lvl w:ilvl="0" w:tplc="5B3442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C46B8"/>
    <w:multiLevelType w:val="hybridMultilevel"/>
    <w:tmpl w:val="9F5069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0640D6"/>
    <w:multiLevelType w:val="hybridMultilevel"/>
    <w:tmpl w:val="4BDEF15C"/>
    <w:lvl w:ilvl="0" w:tplc="BD0C1BB4">
      <w:start w:val="1"/>
      <w:numFmt w:val="bullet"/>
      <w:lvlText w:val="-"/>
      <w:lvlJc w:val="left"/>
      <w:pPr>
        <w:ind w:left="720" w:hanging="360"/>
      </w:pPr>
      <w:rPr>
        <w:rFonts w:ascii="SimSun" w:eastAsia="SimSun" w:hAnsi="SimSun"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3D23296"/>
    <w:multiLevelType w:val="hybridMultilevel"/>
    <w:tmpl w:val="A6C456B0"/>
    <w:lvl w:ilvl="0" w:tplc="F8521078">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6394"/>
    <w:multiLevelType w:val="hybridMultilevel"/>
    <w:tmpl w:val="B95A3314"/>
    <w:lvl w:ilvl="0" w:tplc="1748A81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AC55600"/>
    <w:multiLevelType w:val="hybridMultilevel"/>
    <w:tmpl w:val="7D7805D4"/>
    <w:lvl w:ilvl="0" w:tplc="AC84E4D0">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0" w15:restartNumberingAfterBreak="0">
    <w:nsid w:val="6B4B75BA"/>
    <w:multiLevelType w:val="hybridMultilevel"/>
    <w:tmpl w:val="315E73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21255C"/>
    <w:multiLevelType w:val="hybridMultilevel"/>
    <w:tmpl w:val="D572044A"/>
    <w:lvl w:ilvl="0" w:tplc="E2208B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0A25342"/>
    <w:multiLevelType w:val="hybridMultilevel"/>
    <w:tmpl w:val="B0461EB6"/>
    <w:lvl w:ilvl="0" w:tplc="5B34422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40233BF"/>
    <w:multiLevelType w:val="hybridMultilevel"/>
    <w:tmpl w:val="761ED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674AD8"/>
    <w:multiLevelType w:val="hybridMultilevel"/>
    <w:tmpl w:val="04B862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E722279"/>
    <w:multiLevelType w:val="hybridMultilevel"/>
    <w:tmpl w:val="5BB6D99C"/>
    <w:lvl w:ilvl="0" w:tplc="0409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7"/>
  </w:num>
  <w:num w:numId="3">
    <w:abstractNumId w:val="10"/>
  </w:num>
  <w:num w:numId="4">
    <w:abstractNumId w:val="34"/>
  </w:num>
  <w:num w:numId="5">
    <w:abstractNumId w:val="5"/>
  </w:num>
  <w:num w:numId="6">
    <w:abstractNumId w:val="32"/>
  </w:num>
  <w:num w:numId="7">
    <w:abstractNumId w:val="23"/>
  </w:num>
  <w:num w:numId="8">
    <w:abstractNumId w:val="9"/>
  </w:num>
  <w:num w:numId="9">
    <w:abstractNumId w:val="26"/>
  </w:num>
  <w:num w:numId="10">
    <w:abstractNumId w:val="18"/>
  </w:num>
  <w:num w:numId="11">
    <w:abstractNumId w:val="29"/>
  </w:num>
  <w:num w:numId="12">
    <w:abstractNumId w:val="17"/>
  </w:num>
  <w:num w:numId="13">
    <w:abstractNumId w:val="20"/>
  </w:num>
  <w:num w:numId="14">
    <w:abstractNumId w:val="31"/>
  </w:num>
  <w:num w:numId="15">
    <w:abstractNumId w:val="16"/>
  </w:num>
  <w:num w:numId="16">
    <w:abstractNumId w:val="21"/>
  </w:num>
  <w:num w:numId="17">
    <w:abstractNumId w:val="4"/>
  </w:num>
  <w:num w:numId="18">
    <w:abstractNumId w:val="6"/>
  </w:num>
  <w:num w:numId="19">
    <w:abstractNumId w:val="24"/>
  </w:num>
  <w:num w:numId="20">
    <w:abstractNumId w:val="11"/>
  </w:num>
  <w:num w:numId="21">
    <w:abstractNumId w:val="14"/>
  </w:num>
  <w:num w:numId="22">
    <w:abstractNumId w:val="25"/>
  </w:num>
  <w:num w:numId="23">
    <w:abstractNumId w:val="30"/>
  </w:num>
  <w:num w:numId="24">
    <w:abstractNumId w:val="33"/>
  </w:num>
  <w:num w:numId="25">
    <w:abstractNumId w:val="0"/>
  </w:num>
  <w:num w:numId="26">
    <w:abstractNumId w:val="15"/>
  </w:num>
  <w:num w:numId="27">
    <w:abstractNumId w:val="1"/>
  </w:num>
  <w:num w:numId="28">
    <w:abstractNumId w:val="3"/>
  </w:num>
  <w:num w:numId="29">
    <w:abstractNumId w:val="13"/>
  </w:num>
  <w:num w:numId="30">
    <w:abstractNumId w:val="12"/>
  </w:num>
  <w:num w:numId="31">
    <w:abstractNumId w:val="28"/>
  </w:num>
  <w:num w:numId="32">
    <w:abstractNumId w:val="8"/>
  </w:num>
  <w:num w:numId="33">
    <w:abstractNumId w:val="35"/>
  </w:num>
  <w:num w:numId="34">
    <w:abstractNumId w:val="19"/>
  </w:num>
  <w:num w:numId="35">
    <w:abstractNumId w:val="27"/>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CB"/>
    <w:rsid w:val="00001719"/>
    <w:rsid w:val="000111CF"/>
    <w:rsid w:val="00015C36"/>
    <w:rsid w:val="000225E1"/>
    <w:rsid w:val="00022F77"/>
    <w:rsid w:val="00031971"/>
    <w:rsid w:val="00032D92"/>
    <w:rsid w:val="00035CF2"/>
    <w:rsid w:val="00040283"/>
    <w:rsid w:val="00040A08"/>
    <w:rsid w:val="00046B0C"/>
    <w:rsid w:val="00052DEF"/>
    <w:rsid w:val="00062893"/>
    <w:rsid w:val="000705D9"/>
    <w:rsid w:val="00074708"/>
    <w:rsid w:val="00081424"/>
    <w:rsid w:val="000909DE"/>
    <w:rsid w:val="000A7B49"/>
    <w:rsid w:val="000C65FF"/>
    <w:rsid w:val="000E5AE3"/>
    <w:rsid w:val="000F12F7"/>
    <w:rsid w:val="0010480D"/>
    <w:rsid w:val="00114FC5"/>
    <w:rsid w:val="00125369"/>
    <w:rsid w:val="001325BB"/>
    <w:rsid w:val="00135AA3"/>
    <w:rsid w:val="00135F9C"/>
    <w:rsid w:val="00137FA5"/>
    <w:rsid w:val="00143250"/>
    <w:rsid w:val="001433A9"/>
    <w:rsid w:val="00144D1D"/>
    <w:rsid w:val="00147758"/>
    <w:rsid w:val="001676F5"/>
    <w:rsid w:val="001679F4"/>
    <w:rsid w:val="0018754F"/>
    <w:rsid w:val="001A28C9"/>
    <w:rsid w:val="001A29B6"/>
    <w:rsid w:val="001A2BFB"/>
    <w:rsid w:val="001B44CE"/>
    <w:rsid w:val="001B7FF5"/>
    <w:rsid w:val="001C2B17"/>
    <w:rsid w:val="001C40A8"/>
    <w:rsid w:val="001C4604"/>
    <w:rsid w:val="001C550B"/>
    <w:rsid w:val="001D17C6"/>
    <w:rsid w:val="001D7B59"/>
    <w:rsid w:val="001E0986"/>
    <w:rsid w:val="001E7013"/>
    <w:rsid w:val="001F0FE2"/>
    <w:rsid w:val="001F4B3C"/>
    <w:rsid w:val="0021158C"/>
    <w:rsid w:val="002162C5"/>
    <w:rsid w:val="00221009"/>
    <w:rsid w:val="00223C68"/>
    <w:rsid w:val="00223CB6"/>
    <w:rsid w:val="00232EF6"/>
    <w:rsid w:val="00233893"/>
    <w:rsid w:val="002360B8"/>
    <w:rsid w:val="00271B7D"/>
    <w:rsid w:val="00272BC0"/>
    <w:rsid w:val="00274E4E"/>
    <w:rsid w:val="00281928"/>
    <w:rsid w:val="00283FE6"/>
    <w:rsid w:val="00296867"/>
    <w:rsid w:val="002A5433"/>
    <w:rsid w:val="002B69F4"/>
    <w:rsid w:val="002C15F1"/>
    <w:rsid w:val="002C1DA2"/>
    <w:rsid w:val="002D18AA"/>
    <w:rsid w:val="002D27F9"/>
    <w:rsid w:val="002D39C1"/>
    <w:rsid w:val="002D5577"/>
    <w:rsid w:val="002D6628"/>
    <w:rsid w:val="002E5B1B"/>
    <w:rsid w:val="002F0BCB"/>
    <w:rsid w:val="002F4CF4"/>
    <w:rsid w:val="0030526A"/>
    <w:rsid w:val="003056BF"/>
    <w:rsid w:val="00307FBE"/>
    <w:rsid w:val="0031297B"/>
    <w:rsid w:val="003159EA"/>
    <w:rsid w:val="003216B8"/>
    <w:rsid w:val="0032412C"/>
    <w:rsid w:val="00327559"/>
    <w:rsid w:val="00335AFC"/>
    <w:rsid w:val="0033730A"/>
    <w:rsid w:val="00337DE8"/>
    <w:rsid w:val="00343AC5"/>
    <w:rsid w:val="00344635"/>
    <w:rsid w:val="003700A4"/>
    <w:rsid w:val="00374BAF"/>
    <w:rsid w:val="003810A8"/>
    <w:rsid w:val="00381686"/>
    <w:rsid w:val="00384368"/>
    <w:rsid w:val="00391DE5"/>
    <w:rsid w:val="003A1673"/>
    <w:rsid w:val="003B116B"/>
    <w:rsid w:val="003B21B4"/>
    <w:rsid w:val="003B34E5"/>
    <w:rsid w:val="003B3DEF"/>
    <w:rsid w:val="003D6838"/>
    <w:rsid w:val="003E3C49"/>
    <w:rsid w:val="003E4CA4"/>
    <w:rsid w:val="00400CFC"/>
    <w:rsid w:val="00405C2C"/>
    <w:rsid w:val="00413C12"/>
    <w:rsid w:val="0041549B"/>
    <w:rsid w:val="0041649F"/>
    <w:rsid w:val="00417502"/>
    <w:rsid w:val="004215AC"/>
    <w:rsid w:val="00423C61"/>
    <w:rsid w:val="00426841"/>
    <w:rsid w:val="00435F9B"/>
    <w:rsid w:val="00437688"/>
    <w:rsid w:val="00440560"/>
    <w:rsid w:val="00444DE1"/>
    <w:rsid w:val="0044727D"/>
    <w:rsid w:val="00454C8F"/>
    <w:rsid w:val="004605C6"/>
    <w:rsid w:val="004655F5"/>
    <w:rsid w:val="00472D2A"/>
    <w:rsid w:val="00477AA8"/>
    <w:rsid w:val="0048437E"/>
    <w:rsid w:val="00492872"/>
    <w:rsid w:val="00495011"/>
    <w:rsid w:val="00495624"/>
    <w:rsid w:val="004973BE"/>
    <w:rsid w:val="004C6A49"/>
    <w:rsid w:val="004D006C"/>
    <w:rsid w:val="004D104B"/>
    <w:rsid w:val="004E36DC"/>
    <w:rsid w:val="004F5EC3"/>
    <w:rsid w:val="00503150"/>
    <w:rsid w:val="00520669"/>
    <w:rsid w:val="00521FE0"/>
    <w:rsid w:val="0052619D"/>
    <w:rsid w:val="005302B6"/>
    <w:rsid w:val="00535973"/>
    <w:rsid w:val="005404AF"/>
    <w:rsid w:val="005421B6"/>
    <w:rsid w:val="00542EF2"/>
    <w:rsid w:val="00552A65"/>
    <w:rsid w:val="005551C0"/>
    <w:rsid w:val="0056070F"/>
    <w:rsid w:val="005710AD"/>
    <w:rsid w:val="005770A9"/>
    <w:rsid w:val="0058449F"/>
    <w:rsid w:val="005A755D"/>
    <w:rsid w:val="005B6347"/>
    <w:rsid w:val="005B79EC"/>
    <w:rsid w:val="005C3784"/>
    <w:rsid w:val="005C632D"/>
    <w:rsid w:val="005D1E8C"/>
    <w:rsid w:val="005D55D7"/>
    <w:rsid w:val="005E3AA0"/>
    <w:rsid w:val="005E555C"/>
    <w:rsid w:val="005F6268"/>
    <w:rsid w:val="00603C3D"/>
    <w:rsid w:val="00611E61"/>
    <w:rsid w:val="00613FA6"/>
    <w:rsid w:val="00635AD0"/>
    <w:rsid w:val="00640495"/>
    <w:rsid w:val="00643062"/>
    <w:rsid w:val="006458F1"/>
    <w:rsid w:val="006511F8"/>
    <w:rsid w:val="006534E0"/>
    <w:rsid w:val="0066002E"/>
    <w:rsid w:val="00662A52"/>
    <w:rsid w:val="00670A38"/>
    <w:rsid w:val="00670C0B"/>
    <w:rsid w:val="00671ED4"/>
    <w:rsid w:val="00683725"/>
    <w:rsid w:val="006851AE"/>
    <w:rsid w:val="00685C32"/>
    <w:rsid w:val="00690782"/>
    <w:rsid w:val="006C214D"/>
    <w:rsid w:val="006F47B5"/>
    <w:rsid w:val="006F5283"/>
    <w:rsid w:val="00700171"/>
    <w:rsid w:val="007075D6"/>
    <w:rsid w:val="0072076F"/>
    <w:rsid w:val="00724BB8"/>
    <w:rsid w:val="007258D2"/>
    <w:rsid w:val="00732983"/>
    <w:rsid w:val="0074352A"/>
    <w:rsid w:val="00747630"/>
    <w:rsid w:val="007534E0"/>
    <w:rsid w:val="0075595E"/>
    <w:rsid w:val="00762690"/>
    <w:rsid w:val="00765536"/>
    <w:rsid w:val="0077013C"/>
    <w:rsid w:val="00772AE7"/>
    <w:rsid w:val="00774402"/>
    <w:rsid w:val="007914D1"/>
    <w:rsid w:val="007954F5"/>
    <w:rsid w:val="007A48F1"/>
    <w:rsid w:val="007A7822"/>
    <w:rsid w:val="007B1BEA"/>
    <w:rsid w:val="007B1DE3"/>
    <w:rsid w:val="007B6B41"/>
    <w:rsid w:val="007D0BC4"/>
    <w:rsid w:val="007D535D"/>
    <w:rsid w:val="007D75AF"/>
    <w:rsid w:val="007E0CE2"/>
    <w:rsid w:val="007E3452"/>
    <w:rsid w:val="007E462D"/>
    <w:rsid w:val="007F0335"/>
    <w:rsid w:val="007F1E85"/>
    <w:rsid w:val="007F23A8"/>
    <w:rsid w:val="00802983"/>
    <w:rsid w:val="00806726"/>
    <w:rsid w:val="0082296E"/>
    <w:rsid w:val="00826CEF"/>
    <w:rsid w:val="00830A6D"/>
    <w:rsid w:val="00834B45"/>
    <w:rsid w:val="008451DA"/>
    <w:rsid w:val="00845DD2"/>
    <w:rsid w:val="00850150"/>
    <w:rsid w:val="00855EF9"/>
    <w:rsid w:val="00857FE6"/>
    <w:rsid w:val="008602EB"/>
    <w:rsid w:val="008639CC"/>
    <w:rsid w:val="008648C1"/>
    <w:rsid w:val="008730B9"/>
    <w:rsid w:val="00877624"/>
    <w:rsid w:val="008B1AF4"/>
    <w:rsid w:val="008B2F4B"/>
    <w:rsid w:val="008B3C8C"/>
    <w:rsid w:val="008B764C"/>
    <w:rsid w:val="008C49EA"/>
    <w:rsid w:val="008D1503"/>
    <w:rsid w:val="008E409C"/>
    <w:rsid w:val="008F146A"/>
    <w:rsid w:val="008F6BE2"/>
    <w:rsid w:val="00913BA5"/>
    <w:rsid w:val="00916358"/>
    <w:rsid w:val="009166F1"/>
    <w:rsid w:val="00921EA3"/>
    <w:rsid w:val="00942A6A"/>
    <w:rsid w:val="00951E74"/>
    <w:rsid w:val="00955FE6"/>
    <w:rsid w:val="009637DB"/>
    <w:rsid w:val="00970E8F"/>
    <w:rsid w:val="00972F35"/>
    <w:rsid w:val="00973223"/>
    <w:rsid w:val="00974141"/>
    <w:rsid w:val="00984BE0"/>
    <w:rsid w:val="009851DC"/>
    <w:rsid w:val="009852EB"/>
    <w:rsid w:val="00987BF2"/>
    <w:rsid w:val="009920F9"/>
    <w:rsid w:val="009A1650"/>
    <w:rsid w:val="009A2FB0"/>
    <w:rsid w:val="009A5522"/>
    <w:rsid w:val="009B0785"/>
    <w:rsid w:val="009C6B1A"/>
    <w:rsid w:val="009D5806"/>
    <w:rsid w:val="009F06D7"/>
    <w:rsid w:val="009F3DCB"/>
    <w:rsid w:val="009F4009"/>
    <w:rsid w:val="00A0015D"/>
    <w:rsid w:val="00A04FA3"/>
    <w:rsid w:val="00A05BCA"/>
    <w:rsid w:val="00A06285"/>
    <w:rsid w:val="00A156FA"/>
    <w:rsid w:val="00A31C37"/>
    <w:rsid w:val="00A375EA"/>
    <w:rsid w:val="00A442E8"/>
    <w:rsid w:val="00A569AA"/>
    <w:rsid w:val="00A6213F"/>
    <w:rsid w:val="00A74003"/>
    <w:rsid w:val="00A74D37"/>
    <w:rsid w:val="00A74E75"/>
    <w:rsid w:val="00A80734"/>
    <w:rsid w:val="00A859B6"/>
    <w:rsid w:val="00A956A8"/>
    <w:rsid w:val="00A97498"/>
    <w:rsid w:val="00AA14AC"/>
    <w:rsid w:val="00AA3DEE"/>
    <w:rsid w:val="00AA5FFE"/>
    <w:rsid w:val="00AB1DA0"/>
    <w:rsid w:val="00AB5DF0"/>
    <w:rsid w:val="00AB7D38"/>
    <w:rsid w:val="00AC15A3"/>
    <w:rsid w:val="00AC1A5F"/>
    <w:rsid w:val="00AD1AE3"/>
    <w:rsid w:val="00AD65FA"/>
    <w:rsid w:val="00AE3264"/>
    <w:rsid w:val="00AE6478"/>
    <w:rsid w:val="00AF3A5A"/>
    <w:rsid w:val="00B004A0"/>
    <w:rsid w:val="00B00FCD"/>
    <w:rsid w:val="00B108D6"/>
    <w:rsid w:val="00B12CBE"/>
    <w:rsid w:val="00B15173"/>
    <w:rsid w:val="00B1763D"/>
    <w:rsid w:val="00B22506"/>
    <w:rsid w:val="00B2668F"/>
    <w:rsid w:val="00B334DB"/>
    <w:rsid w:val="00B46D95"/>
    <w:rsid w:val="00B470C9"/>
    <w:rsid w:val="00B47901"/>
    <w:rsid w:val="00B63A70"/>
    <w:rsid w:val="00B64892"/>
    <w:rsid w:val="00B73962"/>
    <w:rsid w:val="00B80B83"/>
    <w:rsid w:val="00B86E90"/>
    <w:rsid w:val="00B87424"/>
    <w:rsid w:val="00B87C4A"/>
    <w:rsid w:val="00BB2BF6"/>
    <w:rsid w:val="00BB5319"/>
    <w:rsid w:val="00BC05AC"/>
    <w:rsid w:val="00BC13C0"/>
    <w:rsid w:val="00BC1CD4"/>
    <w:rsid w:val="00BD03CF"/>
    <w:rsid w:val="00BD05E7"/>
    <w:rsid w:val="00BD744B"/>
    <w:rsid w:val="00BE070B"/>
    <w:rsid w:val="00BE4570"/>
    <w:rsid w:val="00C00578"/>
    <w:rsid w:val="00C0074A"/>
    <w:rsid w:val="00C02336"/>
    <w:rsid w:val="00C053E9"/>
    <w:rsid w:val="00C13063"/>
    <w:rsid w:val="00C17B1B"/>
    <w:rsid w:val="00C264AC"/>
    <w:rsid w:val="00C32B90"/>
    <w:rsid w:val="00C346E6"/>
    <w:rsid w:val="00C4106F"/>
    <w:rsid w:val="00C4152C"/>
    <w:rsid w:val="00C431C4"/>
    <w:rsid w:val="00C44488"/>
    <w:rsid w:val="00C47B9A"/>
    <w:rsid w:val="00C53876"/>
    <w:rsid w:val="00C53AEE"/>
    <w:rsid w:val="00C557C8"/>
    <w:rsid w:val="00C6556F"/>
    <w:rsid w:val="00C74BB1"/>
    <w:rsid w:val="00C75874"/>
    <w:rsid w:val="00C8259F"/>
    <w:rsid w:val="00C967D0"/>
    <w:rsid w:val="00CA01CC"/>
    <w:rsid w:val="00CB4AF1"/>
    <w:rsid w:val="00CC54FE"/>
    <w:rsid w:val="00CC6357"/>
    <w:rsid w:val="00CD57D3"/>
    <w:rsid w:val="00CE00BB"/>
    <w:rsid w:val="00CE59B9"/>
    <w:rsid w:val="00CE7ADC"/>
    <w:rsid w:val="00D07726"/>
    <w:rsid w:val="00D1098F"/>
    <w:rsid w:val="00D110A7"/>
    <w:rsid w:val="00D11B09"/>
    <w:rsid w:val="00D1283D"/>
    <w:rsid w:val="00D2193D"/>
    <w:rsid w:val="00D2678A"/>
    <w:rsid w:val="00D27198"/>
    <w:rsid w:val="00D33E28"/>
    <w:rsid w:val="00D36142"/>
    <w:rsid w:val="00D44E86"/>
    <w:rsid w:val="00D534AF"/>
    <w:rsid w:val="00D63A8F"/>
    <w:rsid w:val="00D6402B"/>
    <w:rsid w:val="00D71B2A"/>
    <w:rsid w:val="00D72500"/>
    <w:rsid w:val="00D753C4"/>
    <w:rsid w:val="00D76EAD"/>
    <w:rsid w:val="00D77961"/>
    <w:rsid w:val="00D83283"/>
    <w:rsid w:val="00D91A9A"/>
    <w:rsid w:val="00DA0839"/>
    <w:rsid w:val="00DA0C07"/>
    <w:rsid w:val="00DB10C0"/>
    <w:rsid w:val="00DC052E"/>
    <w:rsid w:val="00DC16FA"/>
    <w:rsid w:val="00DE390E"/>
    <w:rsid w:val="00DE3E08"/>
    <w:rsid w:val="00DE650D"/>
    <w:rsid w:val="00DE65F4"/>
    <w:rsid w:val="00DF6C8F"/>
    <w:rsid w:val="00E01BA3"/>
    <w:rsid w:val="00E02D9A"/>
    <w:rsid w:val="00E04337"/>
    <w:rsid w:val="00E12560"/>
    <w:rsid w:val="00E24CA9"/>
    <w:rsid w:val="00E260B1"/>
    <w:rsid w:val="00E376AD"/>
    <w:rsid w:val="00E43020"/>
    <w:rsid w:val="00E432B6"/>
    <w:rsid w:val="00E4413B"/>
    <w:rsid w:val="00E52187"/>
    <w:rsid w:val="00E52BC4"/>
    <w:rsid w:val="00E609E8"/>
    <w:rsid w:val="00E60F5F"/>
    <w:rsid w:val="00E61220"/>
    <w:rsid w:val="00E61770"/>
    <w:rsid w:val="00E61C05"/>
    <w:rsid w:val="00E81A64"/>
    <w:rsid w:val="00E84FE4"/>
    <w:rsid w:val="00E91A7B"/>
    <w:rsid w:val="00E94981"/>
    <w:rsid w:val="00EA466D"/>
    <w:rsid w:val="00EA5868"/>
    <w:rsid w:val="00EA7189"/>
    <w:rsid w:val="00EB0BB4"/>
    <w:rsid w:val="00EC1077"/>
    <w:rsid w:val="00EC4F0C"/>
    <w:rsid w:val="00ED2364"/>
    <w:rsid w:val="00EE2FEE"/>
    <w:rsid w:val="00EE6813"/>
    <w:rsid w:val="00EF0CC0"/>
    <w:rsid w:val="00EF2A59"/>
    <w:rsid w:val="00EF35E6"/>
    <w:rsid w:val="00EF66D0"/>
    <w:rsid w:val="00EF748E"/>
    <w:rsid w:val="00F00418"/>
    <w:rsid w:val="00F04D43"/>
    <w:rsid w:val="00F05CA3"/>
    <w:rsid w:val="00F125AB"/>
    <w:rsid w:val="00F1624F"/>
    <w:rsid w:val="00F24885"/>
    <w:rsid w:val="00F34F0E"/>
    <w:rsid w:val="00F41586"/>
    <w:rsid w:val="00F61F87"/>
    <w:rsid w:val="00F76862"/>
    <w:rsid w:val="00F83300"/>
    <w:rsid w:val="00F93EB4"/>
    <w:rsid w:val="00FA0ABD"/>
    <w:rsid w:val="00FA6039"/>
    <w:rsid w:val="00FB056C"/>
    <w:rsid w:val="00FB44ED"/>
    <w:rsid w:val="00FC55E6"/>
    <w:rsid w:val="00FC748C"/>
    <w:rsid w:val="00FD17B0"/>
    <w:rsid w:val="00FD54B5"/>
    <w:rsid w:val="00FE5BAD"/>
    <w:rsid w:val="00FE66DC"/>
    <w:rsid w:val="00FF3FCE"/>
    <w:rsid w:val="00FF5F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9A634EBD-9084-44A4-AB1A-6DC3FC7B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150"/>
    <w:rPr>
      <w:sz w:val="22"/>
      <w:szCs w:val="22"/>
      <w:lang w:eastAsia="en-US"/>
    </w:rPr>
  </w:style>
  <w:style w:type="paragraph" w:styleId="Balk1">
    <w:name w:val="heading 1"/>
    <w:basedOn w:val="Normal"/>
    <w:next w:val="Normal"/>
    <w:uiPriority w:val="9"/>
    <w:qFormat/>
    <w:locked/>
    <w:rsid w:val="00E12560"/>
    <w:pPr>
      <w:keepNext/>
      <w:keepLines/>
      <w:spacing w:before="240" w:line="276" w:lineRule="auto"/>
      <w:outlineLvl w:val="0"/>
    </w:pPr>
    <w:rPr>
      <w:rFonts w:asciiTheme="majorHAnsi" w:eastAsiaTheme="majorEastAsia" w:hAnsiTheme="majorHAnsi" w:cstheme="majorBidi"/>
      <w:color w:val="C00000"/>
      <w:sz w:val="32"/>
      <w:szCs w:val="32"/>
    </w:rPr>
  </w:style>
  <w:style w:type="paragraph" w:styleId="Balk4">
    <w:name w:val="heading 4"/>
    <w:basedOn w:val="Normal"/>
    <w:next w:val="Normal"/>
    <w:link w:val="Balk4Char"/>
    <w:qFormat/>
    <w:locked/>
    <w:rsid w:val="00CE7ADC"/>
    <w:pPr>
      <w:keepNext/>
      <w:ind w:firstLine="708"/>
      <w:outlineLvl w:val="3"/>
    </w:pPr>
    <w:rPr>
      <w:rFonts w:ascii="Times New Roman" w:eastAsia="Times New Roman" w:hAnsi="Times New Roman"/>
      <w:b/>
      <w:bCs/>
      <w:szCs w:val="24"/>
      <w:lang w:eastAsia="tr-TR"/>
    </w:rPr>
  </w:style>
  <w:style w:type="paragraph" w:styleId="Balk5">
    <w:name w:val="heading 5"/>
    <w:basedOn w:val="Normal"/>
    <w:next w:val="Normal"/>
    <w:link w:val="Balk5Char"/>
    <w:uiPriority w:val="9"/>
    <w:unhideWhenUsed/>
    <w:qFormat/>
    <w:locked/>
    <w:rsid w:val="00E02D9A"/>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B1AF4"/>
    <w:pPr>
      <w:tabs>
        <w:tab w:val="center" w:pos="4536"/>
        <w:tab w:val="right" w:pos="9072"/>
      </w:tabs>
    </w:pPr>
    <w:rPr>
      <w:sz w:val="20"/>
      <w:szCs w:val="20"/>
      <w:lang w:val="x-none" w:eastAsia="x-none"/>
    </w:rPr>
  </w:style>
  <w:style w:type="character" w:customStyle="1" w:styleId="stbilgiChar">
    <w:name w:val="Üstbilgi Char"/>
    <w:link w:val="stbilgi"/>
    <w:uiPriority w:val="99"/>
    <w:locked/>
    <w:rsid w:val="008B1AF4"/>
    <w:rPr>
      <w:rFonts w:cs="Times New Roman"/>
    </w:rPr>
  </w:style>
  <w:style w:type="paragraph" w:styleId="Altbilgi">
    <w:name w:val="footer"/>
    <w:basedOn w:val="Normal"/>
    <w:link w:val="AltbilgiChar"/>
    <w:uiPriority w:val="99"/>
    <w:rsid w:val="008B1AF4"/>
    <w:pPr>
      <w:tabs>
        <w:tab w:val="center" w:pos="4536"/>
        <w:tab w:val="right" w:pos="9072"/>
      </w:tabs>
    </w:pPr>
    <w:rPr>
      <w:sz w:val="20"/>
      <w:szCs w:val="20"/>
      <w:lang w:val="x-none" w:eastAsia="x-none"/>
    </w:rPr>
  </w:style>
  <w:style w:type="character" w:customStyle="1" w:styleId="AltbilgiChar">
    <w:name w:val="Altbilgi Char"/>
    <w:link w:val="Altbilgi"/>
    <w:uiPriority w:val="99"/>
    <w:locked/>
    <w:rsid w:val="008B1AF4"/>
    <w:rPr>
      <w:rFonts w:cs="Times New Roman"/>
    </w:rPr>
  </w:style>
  <w:style w:type="paragraph" w:styleId="BalonMetni">
    <w:name w:val="Balloon Text"/>
    <w:basedOn w:val="Normal"/>
    <w:link w:val="BalonMetniChar"/>
    <w:uiPriority w:val="99"/>
    <w:semiHidden/>
    <w:rsid w:val="005404AF"/>
    <w:rPr>
      <w:rFonts w:ascii="Tahoma" w:hAnsi="Tahoma"/>
      <w:sz w:val="16"/>
      <w:szCs w:val="16"/>
      <w:lang w:val="x-none" w:eastAsia="x-none"/>
    </w:rPr>
  </w:style>
  <w:style w:type="character" w:customStyle="1" w:styleId="BalonMetniChar">
    <w:name w:val="Balon Metni Char"/>
    <w:link w:val="BalonMetni"/>
    <w:uiPriority w:val="99"/>
    <w:semiHidden/>
    <w:locked/>
    <w:rsid w:val="005404AF"/>
    <w:rPr>
      <w:rFonts w:ascii="Tahoma" w:hAnsi="Tahoma" w:cs="Tahoma"/>
      <w:sz w:val="16"/>
      <w:szCs w:val="16"/>
    </w:rPr>
  </w:style>
  <w:style w:type="character" w:styleId="Gl">
    <w:name w:val="Strong"/>
    <w:uiPriority w:val="22"/>
    <w:qFormat/>
    <w:rsid w:val="00EE6813"/>
    <w:rPr>
      <w:rFonts w:cs="Times New Roman"/>
      <w:b/>
      <w:bCs/>
    </w:rPr>
  </w:style>
  <w:style w:type="paragraph" w:styleId="ListeParagraf">
    <w:name w:val="List Paragraph"/>
    <w:aliases w:val="içindekiler vb"/>
    <w:basedOn w:val="Normal"/>
    <w:link w:val="ListeParagrafChar"/>
    <w:uiPriority w:val="34"/>
    <w:qFormat/>
    <w:rsid w:val="00521FE0"/>
    <w:pPr>
      <w:ind w:left="720"/>
      <w:contextualSpacing/>
    </w:pPr>
  </w:style>
  <w:style w:type="paragraph" w:styleId="GvdeMetni">
    <w:name w:val="Body Text"/>
    <w:basedOn w:val="Normal"/>
    <w:link w:val="GvdeMetniChar"/>
    <w:uiPriority w:val="99"/>
    <w:rsid w:val="00F61F87"/>
    <w:pPr>
      <w:widowControl w:val="0"/>
      <w:tabs>
        <w:tab w:val="left" w:pos="496"/>
      </w:tabs>
      <w:spacing w:line="240" w:lineRule="atLeast"/>
      <w:jc w:val="both"/>
    </w:pPr>
    <w:rPr>
      <w:rFonts w:ascii="Times New Roman" w:hAnsi="Times New Roman"/>
      <w:sz w:val="20"/>
      <w:szCs w:val="20"/>
      <w:lang w:val="x-none" w:eastAsia="x-none"/>
    </w:rPr>
  </w:style>
  <w:style w:type="character" w:customStyle="1" w:styleId="GvdeMetniChar">
    <w:name w:val="Gövde Metni Char"/>
    <w:link w:val="GvdeMetni"/>
    <w:uiPriority w:val="99"/>
    <w:locked/>
    <w:rsid w:val="00F61F87"/>
    <w:rPr>
      <w:rFonts w:ascii="Times New Roman" w:hAnsi="Times New Roman" w:cs="Times New Roman"/>
      <w:sz w:val="20"/>
      <w:szCs w:val="20"/>
    </w:rPr>
  </w:style>
  <w:style w:type="character" w:styleId="Kpr">
    <w:name w:val="Hyperlink"/>
    <w:uiPriority w:val="99"/>
    <w:rsid w:val="00AC15A3"/>
    <w:rPr>
      <w:rFonts w:cs="Times New Roman"/>
      <w:color w:val="0000FF"/>
      <w:u w:val="single"/>
    </w:rPr>
  </w:style>
  <w:style w:type="table" w:styleId="TabloKlavuzu">
    <w:name w:val="Table Grid"/>
    <w:basedOn w:val="NormalTablo"/>
    <w:uiPriority w:val="39"/>
    <w:locked/>
    <w:rsid w:val="006837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ltyaz">
    <w:name w:val="Subtitle"/>
    <w:basedOn w:val="Normal"/>
    <w:next w:val="Normal"/>
    <w:link w:val="AltyazChar"/>
    <w:qFormat/>
    <w:locked/>
    <w:rsid w:val="00955FE6"/>
    <w:pPr>
      <w:spacing w:after="60"/>
      <w:jc w:val="center"/>
      <w:outlineLvl w:val="1"/>
    </w:pPr>
    <w:rPr>
      <w:rFonts w:ascii="Cambria" w:eastAsia="Times New Roman" w:hAnsi="Cambria"/>
      <w:sz w:val="24"/>
      <w:szCs w:val="24"/>
    </w:rPr>
  </w:style>
  <w:style w:type="character" w:customStyle="1" w:styleId="AltyazChar">
    <w:name w:val="Altyazı Char"/>
    <w:link w:val="Altyaz"/>
    <w:rsid w:val="00955FE6"/>
    <w:rPr>
      <w:rFonts w:ascii="Cambria" w:eastAsia="Times New Roman" w:hAnsi="Cambria" w:cs="Times New Roman"/>
      <w:sz w:val="24"/>
      <w:szCs w:val="24"/>
      <w:lang w:eastAsia="en-US"/>
    </w:rPr>
  </w:style>
  <w:style w:type="paragraph" w:styleId="GvdeMetniGirintisi">
    <w:name w:val="Body Text Indent"/>
    <w:basedOn w:val="Normal"/>
    <w:link w:val="GvdeMetniGirintisiChar"/>
    <w:uiPriority w:val="99"/>
    <w:unhideWhenUsed/>
    <w:rsid w:val="00CE7ADC"/>
    <w:pPr>
      <w:spacing w:after="120"/>
      <w:ind w:left="283"/>
    </w:pPr>
  </w:style>
  <w:style w:type="character" w:customStyle="1" w:styleId="GvdeMetniGirintisiChar">
    <w:name w:val="Gövde Metni Girintisi Char"/>
    <w:link w:val="GvdeMetniGirintisi"/>
    <w:uiPriority w:val="99"/>
    <w:rsid w:val="00CE7ADC"/>
    <w:rPr>
      <w:sz w:val="22"/>
      <w:szCs w:val="22"/>
      <w:lang w:eastAsia="en-US"/>
    </w:rPr>
  </w:style>
  <w:style w:type="character" w:customStyle="1" w:styleId="Balk4Char">
    <w:name w:val="Başlık 4 Char"/>
    <w:link w:val="Balk4"/>
    <w:rsid w:val="00CE7ADC"/>
    <w:rPr>
      <w:rFonts w:ascii="Times New Roman" w:eastAsia="Times New Roman" w:hAnsi="Times New Roman"/>
      <w:b/>
      <w:bCs/>
      <w:sz w:val="22"/>
      <w:szCs w:val="24"/>
    </w:rPr>
  </w:style>
  <w:style w:type="paragraph" w:styleId="NormalWeb">
    <w:name w:val="Normal (Web)"/>
    <w:basedOn w:val="Normal"/>
    <w:rsid w:val="00CE7ADC"/>
    <w:pPr>
      <w:spacing w:before="100" w:beforeAutospacing="1" w:after="100" w:afterAutospacing="1"/>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CE7ADC"/>
  </w:style>
  <w:style w:type="paragraph" w:customStyle="1" w:styleId="Balk11">
    <w:name w:val="Başlık 11"/>
    <w:basedOn w:val="Normal"/>
    <w:link w:val="Balk1Char"/>
    <w:rsid w:val="00AB7D38"/>
    <w:rPr>
      <w:rFonts w:ascii="Times New Roman" w:eastAsia="Times New Roman" w:hAnsi="Times New Roman"/>
      <w:sz w:val="24"/>
      <w:szCs w:val="24"/>
      <w:lang w:eastAsia="tr-TR"/>
    </w:rPr>
  </w:style>
  <w:style w:type="character" w:customStyle="1" w:styleId="Balk1Char">
    <w:name w:val="Başlık 1 Char"/>
    <w:link w:val="Balk11"/>
    <w:uiPriority w:val="9"/>
    <w:locked/>
    <w:rsid w:val="00AB7D38"/>
    <w:rPr>
      <w:rFonts w:ascii="Times New Roman" w:eastAsia="Times New Roman" w:hAnsi="Times New Roman"/>
      <w:sz w:val="24"/>
      <w:szCs w:val="24"/>
    </w:rPr>
  </w:style>
  <w:style w:type="table" w:customStyle="1" w:styleId="NormalTablo1">
    <w:name w:val="Normal Tablo1"/>
    <w:uiPriority w:val="99"/>
    <w:semiHidden/>
    <w:qFormat/>
    <w:rsid w:val="00114FC5"/>
    <w:rPr>
      <w:rFonts w:ascii="Times New Roman" w:eastAsia="Times New Roman" w:hAnsi="Times New Roman"/>
    </w:rPr>
    <w:tblPr>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137FA5"/>
    <w:rPr>
      <w:rFonts w:ascii="Times New Roman" w:eastAsia="Times New Roman" w:hAnsi="Times New Roman"/>
      <w:sz w:val="20"/>
      <w:szCs w:val="20"/>
      <w:lang w:eastAsia="tr-TR"/>
    </w:rPr>
  </w:style>
  <w:style w:type="character" w:customStyle="1" w:styleId="DipnotMetniChar">
    <w:name w:val="Dipnot Metni Char"/>
    <w:link w:val="DipnotMetni"/>
    <w:uiPriority w:val="99"/>
    <w:semiHidden/>
    <w:rsid w:val="00137FA5"/>
    <w:rPr>
      <w:rFonts w:ascii="Times New Roman" w:eastAsia="Times New Roman" w:hAnsi="Times New Roman"/>
    </w:rPr>
  </w:style>
  <w:style w:type="character" w:styleId="DipnotBavurusu">
    <w:name w:val="footnote reference"/>
    <w:uiPriority w:val="99"/>
    <w:semiHidden/>
    <w:unhideWhenUsed/>
    <w:rsid w:val="00137FA5"/>
    <w:rPr>
      <w:vertAlign w:val="superscript"/>
    </w:rPr>
  </w:style>
  <w:style w:type="paragraph" w:customStyle="1" w:styleId="3-NormalYaz">
    <w:name w:val="3-Normal Yazı"/>
    <w:rsid w:val="00B334DB"/>
    <w:pPr>
      <w:tabs>
        <w:tab w:val="left" w:pos="566"/>
      </w:tabs>
      <w:jc w:val="both"/>
    </w:pPr>
    <w:rPr>
      <w:rFonts w:ascii="Times New Roman" w:eastAsia="ヒラギノ明朝 Pro W3" w:hAnsi="Times"/>
      <w:sz w:val="19"/>
      <w:lang w:val="en-US" w:eastAsia="en-US"/>
    </w:rPr>
  </w:style>
  <w:style w:type="paragraph" w:customStyle="1" w:styleId="metin">
    <w:name w:val="metin"/>
    <w:basedOn w:val="Normal"/>
    <w:rsid w:val="00DF6C8F"/>
    <w:pPr>
      <w:spacing w:before="100" w:beforeAutospacing="1" w:after="100" w:afterAutospacing="1"/>
    </w:pPr>
    <w:rPr>
      <w:rFonts w:ascii="Times New Roman" w:eastAsia="Times New Roman" w:hAnsi="Times New Roman"/>
      <w:sz w:val="24"/>
      <w:szCs w:val="24"/>
      <w:lang w:eastAsia="tr-TR"/>
    </w:rPr>
  </w:style>
  <w:style w:type="character" w:customStyle="1" w:styleId="grame">
    <w:name w:val="grame"/>
    <w:basedOn w:val="VarsaylanParagrafYazTipi"/>
    <w:rsid w:val="00DF6C8F"/>
  </w:style>
  <w:style w:type="character" w:customStyle="1" w:styleId="spelle">
    <w:name w:val="spelle"/>
    <w:basedOn w:val="VarsaylanParagrafYazTipi"/>
    <w:rsid w:val="00DF6C8F"/>
  </w:style>
  <w:style w:type="character" w:customStyle="1" w:styleId="Balk5Char">
    <w:name w:val="Başlık 5 Char"/>
    <w:basedOn w:val="VarsaylanParagrafYazTipi"/>
    <w:link w:val="Balk5"/>
    <w:uiPriority w:val="9"/>
    <w:rsid w:val="00E02D9A"/>
    <w:rPr>
      <w:rFonts w:asciiTheme="majorHAnsi" w:eastAsiaTheme="majorEastAsia" w:hAnsiTheme="majorHAnsi" w:cstheme="majorBidi"/>
      <w:color w:val="2E74B5" w:themeColor="accent1" w:themeShade="BF"/>
      <w:sz w:val="22"/>
      <w:szCs w:val="22"/>
      <w:lang w:eastAsia="en-US"/>
    </w:rPr>
  </w:style>
  <w:style w:type="paragraph" w:styleId="AralkYok">
    <w:name w:val="No Spacing"/>
    <w:uiPriority w:val="1"/>
    <w:qFormat/>
    <w:rsid w:val="00E02D9A"/>
    <w:rPr>
      <w:rFonts w:ascii="Times New Roman" w:eastAsia="Times New Roman" w:hAnsi="Times New Roman"/>
    </w:rPr>
  </w:style>
  <w:style w:type="table" w:customStyle="1" w:styleId="TabloKlavuzu2">
    <w:name w:val="Tablo Kılavuzu2"/>
    <w:basedOn w:val="NormalTablo"/>
    <w:next w:val="TabloKlavuzu"/>
    <w:uiPriority w:val="39"/>
    <w:rsid w:val="00D534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52619D"/>
    <w:rPr>
      <w:rFonts w:asciiTheme="minorHAnsi" w:eastAsia="Times New Roman" w:hAnsiTheme="minorHAnsi" w:cstheme="minorBidi"/>
      <w:sz w:val="22"/>
      <w:szCs w:val="22"/>
      <w:lang w:eastAsia="en-US"/>
    </w:rPr>
    <w:tblPr>
      <w:tblCellMar>
        <w:top w:w="0" w:type="dxa"/>
        <w:left w:w="0" w:type="dxa"/>
        <w:bottom w:w="0" w:type="dxa"/>
        <w:right w:w="0" w:type="dxa"/>
      </w:tblCellMar>
    </w:tblPr>
  </w:style>
  <w:style w:type="paragraph" w:customStyle="1" w:styleId="ortabalkbold">
    <w:name w:val="ortabalkbold"/>
    <w:basedOn w:val="Normal"/>
    <w:rsid w:val="00C346E6"/>
    <w:pPr>
      <w:spacing w:before="100" w:beforeAutospacing="1" w:after="100" w:afterAutospacing="1"/>
    </w:pPr>
    <w:rPr>
      <w:rFonts w:ascii="Times New Roman" w:eastAsia="Times New Roman" w:hAnsi="Times New Roman"/>
      <w:sz w:val="24"/>
      <w:szCs w:val="24"/>
      <w:lang w:eastAsia="tr-TR"/>
    </w:rPr>
  </w:style>
  <w:style w:type="character" w:customStyle="1" w:styleId="Balk1Char1">
    <w:name w:val="Başlık 1 Char1"/>
    <w:basedOn w:val="VarsaylanParagrafYazTipi"/>
    <w:rsid w:val="00FA0ABD"/>
    <w:rPr>
      <w:rFonts w:asciiTheme="majorHAnsi" w:eastAsiaTheme="majorEastAsia" w:hAnsiTheme="majorHAnsi" w:cstheme="majorBidi"/>
      <w:color w:val="2E74B5" w:themeColor="accent1" w:themeShade="BF"/>
      <w:sz w:val="32"/>
      <w:szCs w:val="32"/>
      <w:lang w:eastAsia="en-US"/>
    </w:rPr>
  </w:style>
  <w:style w:type="character" w:customStyle="1" w:styleId="ListeParagrafChar">
    <w:name w:val="Liste Paragraf Char"/>
    <w:aliases w:val="içindekiler vb Char"/>
    <w:link w:val="ListeParagraf"/>
    <w:uiPriority w:val="34"/>
    <w:locked/>
    <w:rsid w:val="00FA0ABD"/>
    <w:rPr>
      <w:sz w:val="22"/>
      <w:szCs w:val="22"/>
      <w:lang w:eastAsia="en-US"/>
    </w:rPr>
  </w:style>
  <w:style w:type="paragraph" w:styleId="SonnotMetni">
    <w:name w:val="endnote text"/>
    <w:basedOn w:val="Normal"/>
    <w:link w:val="SonnotMetniChar"/>
    <w:uiPriority w:val="99"/>
    <w:semiHidden/>
    <w:unhideWhenUsed/>
    <w:rsid w:val="00FA0ABD"/>
    <w:rPr>
      <w:rFonts w:asciiTheme="minorHAnsi" w:eastAsiaTheme="minorHAnsi" w:hAnsiTheme="minorHAnsi" w:cstheme="minorBidi"/>
      <w:sz w:val="20"/>
      <w:szCs w:val="20"/>
    </w:rPr>
  </w:style>
  <w:style w:type="character" w:customStyle="1" w:styleId="SonnotMetniChar">
    <w:name w:val="Sonnot Metni Char"/>
    <w:basedOn w:val="VarsaylanParagrafYazTipi"/>
    <w:link w:val="SonnotMetni"/>
    <w:uiPriority w:val="99"/>
    <w:semiHidden/>
    <w:rsid w:val="00FA0ABD"/>
    <w:rPr>
      <w:rFonts w:asciiTheme="minorHAnsi" w:eastAsiaTheme="minorHAnsi" w:hAnsiTheme="minorHAnsi" w:cstheme="minorBidi"/>
      <w:lang w:eastAsia="en-US"/>
    </w:rPr>
  </w:style>
  <w:style w:type="character" w:styleId="SonnotBavurusu">
    <w:name w:val="endnote reference"/>
    <w:basedOn w:val="VarsaylanParagrafYazTipi"/>
    <w:uiPriority w:val="99"/>
    <w:semiHidden/>
    <w:unhideWhenUsed/>
    <w:rsid w:val="00FA0A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8254">
      <w:bodyDiv w:val="1"/>
      <w:marLeft w:val="0"/>
      <w:marRight w:val="0"/>
      <w:marTop w:val="0"/>
      <w:marBottom w:val="0"/>
      <w:divBdr>
        <w:top w:val="none" w:sz="0" w:space="0" w:color="auto"/>
        <w:left w:val="none" w:sz="0" w:space="0" w:color="auto"/>
        <w:bottom w:val="none" w:sz="0" w:space="0" w:color="auto"/>
        <w:right w:val="none" w:sz="0" w:space="0" w:color="auto"/>
      </w:divBdr>
      <w:divsChild>
        <w:div w:id="1287199188">
          <w:marLeft w:val="0"/>
          <w:marRight w:val="0"/>
          <w:marTop w:val="0"/>
          <w:marBottom w:val="0"/>
          <w:divBdr>
            <w:top w:val="none" w:sz="0" w:space="0" w:color="auto"/>
            <w:left w:val="none" w:sz="0" w:space="0" w:color="auto"/>
            <w:bottom w:val="none" w:sz="0" w:space="0" w:color="auto"/>
            <w:right w:val="none" w:sz="0" w:space="0" w:color="auto"/>
          </w:divBdr>
          <w:divsChild>
            <w:div w:id="219480636">
              <w:marLeft w:val="0"/>
              <w:marRight w:val="0"/>
              <w:marTop w:val="0"/>
              <w:marBottom w:val="0"/>
              <w:divBdr>
                <w:top w:val="none" w:sz="0" w:space="0" w:color="auto"/>
                <w:left w:val="none" w:sz="0" w:space="0" w:color="auto"/>
                <w:bottom w:val="none" w:sz="0" w:space="0" w:color="auto"/>
                <w:right w:val="none" w:sz="0" w:space="0" w:color="auto"/>
              </w:divBdr>
              <w:divsChild>
                <w:div w:id="211978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1032">
      <w:bodyDiv w:val="1"/>
      <w:marLeft w:val="0"/>
      <w:marRight w:val="0"/>
      <w:marTop w:val="0"/>
      <w:marBottom w:val="0"/>
      <w:divBdr>
        <w:top w:val="none" w:sz="0" w:space="0" w:color="auto"/>
        <w:left w:val="none" w:sz="0" w:space="0" w:color="auto"/>
        <w:bottom w:val="none" w:sz="0" w:space="0" w:color="auto"/>
        <w:right w:val="none" w:sz="0" w:space="0" w:color="auto"/>
      </w:divBdr>
      <w:divsChild>
        <w:div w:id="289750472">
          <w:marLeft w:val="0"/>
          <w:marRight w:val="0"/>
          <w:marTop w:val="0"/>
          <w:marBottom w:val="0"/>
          <w:divBdr>
            <w:top w:val="none" w:sz="0" w:space="0" w:color="auto"/>
            <w:left w:val="none" w:sz="0" w:space="0" w:color="auto"/>
            <w:bottom w:val="none" w:sz="0" w:space="0" w:color="auto"/>
            <w:right w:val="none" w:sz="0" w:space="0" w:color="auto"/>
          </w:divBdr>
          <w:divsChild>
            <w:div w:id="146358130">
              <w:marLeft w:val="0"/>
              <w:marRight w:val="0"/>
              <w:marTop w:val="0"/>
              <w:marBottom w:val="0"/>
              <w:divBdr>
                <w:top w:val="none" w:sz="0" w:space="0" w:color="auto"/>
                <w:left w:val="none" w:sz="0" w:space="0" w:color="auto"/>
                <w:bottom w:val="none" w:sz="0" w:space="0" w:color="auto"/>
                <w:right w:val="none" w:sz="0" w:space="0" w:color="auto"/>
              </w:divBdr>
              <w:divsChild>
                <w:div w:id="18039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0632">
      <w:bodyDiv w:val="1"/>
      <w:marLeft w:val="0"/>
      <w:marRight w:val="0"/>
      <w:marTop w:val="0"/>
      <w:marBottom w:val="0"/>
      <w:divBdr>
        <w:top w:val="none" w:sz="0" w:space="0" w:color="auto"/>
        <w:left w:val="none" w:sz="0" w:space="0" w:color="auto"/>
        <w:bottom w:val="none" w:sz="0" w:space="0" w:color="auto"/>
        <w:right w:val="none" w:sz="0" w:space="0" w:color="auto"/>
      </w:divBdr>
    </w:div>
    <w:div w:id="346295408">
      <w:bodyDiv w:val="1"/>
      <w:marLeft w:val="0"/>
      <w:marRight w:val="0"/>
      <w:marTop w:val="0"/>
      <w:marBottom w:val="0"/>
      <w:divBdr>
        <w:top w:val="none" w:sz="0" w:space="0" w:color="auto"/>
        <w:left w:val="none" w:sz="0" w:space="0" w:color="auto"/>
        <w:bottom w:val="none" w:sz="0" w:space="0" w:color="auto"/>
        <w:right w:val="none" w:sz="0" w:space="0" w:color="auto"/>
      </w:divBdr>
    </w:div>
    <w:div w:id="354695724">
      <w:bodyDiv w:val="1"/>
      <w:marLeft w:val="0"/>
      <w:marRight w:val="0"/>
      <w:marTop w:val="0"/>
      <w:marBottom w:val="0"/>
      <w:divBdr>
        <w:top w:val="none" w:sz="0" w:space="0" w:color="auto"/>
        <w:left w:val="none" w:sz="0" w:space="0" w:color="auto"/>
        <w:bottom w:val="none" w:sz="0" w:space="0" w:color="auto"/>
        <w:right w:val="none" w:sz="0" w:space="0" w:color="auto"/>
      </w:divBdr>
    </w:div>
    <w:div w:id="612831472">
      <w:bodyDiv w:val="1"/>
      <w:marLeft w:val="0"/>
      <w:marRight w:val="0"/>
      <w:marTop w:val="0"/>
      <w:marBottom w:val="0"/>
      <w:divBdr>
        <w:top w:val="none" w:sz="0" w:space="0" w:color="auto"/>
        <w:left w:val="none" w:sz="0" w:space="0" w:color="auto"/>
        <w:bottom w:val="none" w:sz="0" w:space="0" w:color="auto"/>
        <w:right w:val="none" w:sz="0" w:space="0" w:color="auto"/>
      </w:divBdr>
      <w:divsChild>
        <w:div w:id="1162772409">
          <w:marLeft w:val="0"/>
          <w:marRight w:val="0"/>
          <w:marTop w:val="0"/>
          <w:marBottom w:val="0"/>
          <w:divBdr>
            <w:top w:val="none" w:sz="0" w:space="0" w:color="auto"/>
            <w:left w:val="none" w:sz="0" w:space="0" w:color="auto"/>
            <w:bottom w:val="none" w:sz="0" w:space="0" w:color="auto"/>
            <w:right w:val="none" w:sz="0" w:space="0" w:color="auto"/>
          </w:divBdr>
          <w:divsChild>
            <w:div w:id="349912851">
              <w:marLeft w:val="0"/>
              <w:marRight w:val="0"/>
              <w:marTop w:val="0"/>
              <w:marBottom w:val="0"/>
              <w:divBdr>
                <w:top w:val="none" w:sz="0" w:space="0" w:color="auto"/>
                <w:left w:val="none" w:sz="0" w:space="0" w:color="auto"/>
                <w:bottom w:val="none" w:sz="0" w:space="0" w:color="auto"/>
                <w:right w:val="none" w:sz="0" w:space="0" w:color="auto"/>
              </w:divBdr>
              <w:divsChild>
                <w:div w:id="11285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42193">
      <w:bodyDiv w:val="1"/>
      <w:marLeft w:val="0"/>
      <w:marRight w:val="0"/>
      <w:marTop w:val="0"/>
      <w:marBottom w:val="0"/>
      <w:divBdr>
        <w:top w:val="none" w:sz="0" w:space="0" w:color="auto"/>
        <w:left w:val="none" w:sz="0" w:space="0" w:color="auto"/>
        <w:bottom w:val="none" w:sz="0" w:space="0" w:color="auto"/>
        <w:right w:val="none" w:sz="0" w:space="0" w:color="auto"/>
      </w:divBdr>
    </w:div>
    <w:div w:id="1627811626">
      <w:marLeft w:val="0"/>
      <w:marRight w:val="0"/>
      <w:marTop w:val="0"/>
      <w:marBottom w:val="0"/>
      <w:divBdr>
        <w:top w:val="none" w:sz="0" w:space="0" w:color="auto"/>
        <w:left w:val="none" w:sz="0" w:space="0" w:color="auto"/>
        <w:bottom w:val="none" w:sz="0" w:space="0" w:color="auto"/>
        <w:right w:val="none" w:sz="0" w:space="0" w:color="auto"/>
      </w:divBdr>
      <w:divsChild>
        <w:div w:id="1627811627">
          <w:marLeft w:val="0"/>
          <w:marRight w:val="0"/>
          <w:marTop w:val="450"/>
          <w:marBottom w:val="0"/>
          <w:divBdr>
            <w:top w:val="none" w:sz="0" w:space="0" w:color="auto"/>
            <w:left w:val="none" w:sz="0" w:space="0" w:color="auto"/>
            <w:bottom w:val="none" w:sz="0" w:space="0" w:color="auto"/>
            <w:right w:val="none" w:sz="0" w:space="0" w:color="auto"/>
          </w:divBdr>
          <w:divsChild>
            <w:div w:id="16278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6950">
      <w:bodyDiv w:val="1"/>
      <w:marLeft w:val="0"/>
      <w:marRight w:val="0"/>
      <w:marTop w:val="0"/>
      <w:marBottom w:val="0"/>
      <w:divBdr>
        <w:top w:val="none" w:sz="0" w:space="0" w:color="auto"/>
        <w:left w:val="none" w:sz="0" w:space="0" w:color="auto"/>
        <w:bottom w:val="none" w:sz="0" w:space="0" w:color="auto"/>
        <w:right w:val="none" w:sz="0" w:space="0" w:color="auto"/>
      </w:divBdr>
    </w:div>
    <w:div w:id="1737045984">
      <w:bodyDiv w:val="1"/>
      <w:marLeft w:val="0"/>
      <w:marRight w:val="0"/>
      <w:marTop w:val="0"/>
      <w:marBottom w:val="0"/>
      <w:divBdr>
        <w:top w:val="none" w:sz="0" w:space="0" w:color="auto"/>
        <w:left w:val="none" w:sz="0" w:space="0" w:color="auto"/>
        <w:bottom w:val="none" w:sz="0" w:space="0" w:color="auto"/>
        <w:right w:val="none" w:sz="0" w:space="0" w:color="auto"/>
      </w:divBdr>
    </w:div>
    <w:div w:id="1830049938">
      <w:bodyDiv w:val="1"/>
      <w:marLeft w:val="0"/>
      <w:marRight w:val="0"/>
      <w:marTop w:val="0"/>
      <w:marBottom w:val="0"/>
      <w:divBdr>
        <w:top w:val="none" w:sz="0" w:space="0" w:color="auto"/>
        <w:left w:val="none" w:sz="0" w:space="0" w:color="auto"/>
        <w:bottom w:val="none" w:sz="0" w:space="0" w:color="auto"/>
        <w:right w:val="none" w:sz="0" w:space="0" w:color="auto"/>
      </w:divBdr>
    </w:div>
    <w:div w:id="1952741975">
      <w:bodyDiv w:val="1"/>
      <w:marLeft w:val="0"/>
      <w:marRight w:val="0"/>
      <w:marTop w:val="0"/>
      <w:marBottom w:val="0"/>
      <w:divBdr>
        <w:top w:val="none" w:sz="0" w:space="0" w:color="auto"/>
        <w:left w:val="none" w:sz="0" w:space="0" w:color="auto"/>
        <w:bottom w:val="none" w:sz="0" w:space="0" w:color="auto"/>
        <w:right w:val="none" w:sz="0" w:space="0" w:color="auto"/>
      </w:divBdr>
      <w:divsChild>
        <w:div w:id="2059473737">
          <w:marLeft w:val="0"/>
          <w:marRight w:val="0"/>
          <w:marTop w:val="0"/>
          <w:marBottom w:val="300"/>
          <w:divBdr>
            <w:top w:val="none" w:sz="0" w:space="0" w:color="auto"/>
            <w:left w:val="none" w:sz="0" w:space="0" w:color="auto"/>
            <w:bottom w:val="none" w:sz="0" w:space="0" w:color="auto"/>
            <w:right w:val="none" w:sz="0" w:space="0" w:color="auto"/>
          </w:divBdr>
          <w:divsChild>
            <w:div w:id="906453516">
              <w:marLeft w:val="0"/>
              <w:marRight w:val="0"/>
              <w:marTop w:val="0"/>
              <w:marBottom w:val="0"/>
              <w:divBdr>
                <w:top w:val="none" w:sz="0" w:space="0" w:color="auto"/>
                <w:left w:val="none" w:sz="0" w:space="0" w:color="auto"/>
                <w:bottom w:val="none" w:sz="0" w:space="0" w:color="auto"/>
                <w:right w:val="none" w:sz="0" w:space="0" w:color="auto"/>
              </w:divBdr>
              <w:divsChild>
                <w:div w:id="796142588">
                  <w:marLeft w:val="0"/>
                  <w:marRight w:val="0"/>
                  <w:marTop w:val="0"/>
                  <w:marBottom w:val="0"/>
                  <w:divBdr>
                    <w:top w:val="none" w:sz="0" w:space="0" w:color="auto"/>
                    <w:left w:val="none" w:sz="0" w:space="0" w:color="auto"/>
                    <w:bottom w:val="none" w:sz="0" w:space="0" w:color="auto"/>
                    <w:right w:val="none" w:sz="0" w:space="0" w:color="auto"/>
                  </w:divBdr>
                </w:div>
                <w:div w:id="2026394651">
                  <w:marLeft w:val="0"/>
                  <w:marRight w:val="0"/>
                  <w:marTop w:val="0"/>
                  <w:marBottom w:val="0"/>
                  <w:divBdr>
                    <w:top w:val="none" w:sz="0" w:space="0" w:color="auto"/>
                    <w:left w:val="none" w:sz="0" w:space="0" w:color="auto"/>
                    <w:bottom w:val="none" w:sz="0" w:space="0" w:color="auto"/>
                    <w:right w:val="none" w:sz="0" w:space="0" w:color="auto"/>
                  </w:divBdr>
                  <w:divsChild>
                    <w:div w:id="18710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0538">
              <w:marLeft w:val="0"/>
              <w:marRight w:val="0"/>
              <w:marTop w:val="0"/>
              <w:marBottom w:val="0"/>
              <w:divBdr>
                <w:top w:val="none" w:sz="0" w:space="0" w:color="auto"/>
                <w:left w:val="none" w:sz="0" w:space="0" w:color="auto"/>
                <w:bottom w:val="none" w:sz="0" w:space="0" w:color="auto"/>
                <w:right w:val="none" w:sz="0" w:space="0" w:color="auto"/>
              </w:divBdr>
              <w:divsChild>
                <w:div w:id="481894711">
                  <w:marLeft w:val="0"/>
                  <w:marRight w:val="0"/>
                  <w:marTop w:val="0"/>
                  <w:marBottom w:val="0"/>
                  <w:divBdr>
                    <w:top w:val="none" w:sz="0" w:space="0" w:color="auto"/>
                    <w:left w:val="none" w:sz="0" w:space="0" w:color="auto"/>
                    <w:bottom w:val="none" w:sz="0" w:space="0" w:color="auto"/>
                    <w:right w:val="none" w:sz="0" w:space="0" w:color="auto"/>
                  </w:divBdr>
                </w:div>
                <w:div w:id="1842041940">
                  <w:marLeft w:val="0"/>
                  <w:marRight w:val="0"/>
                  <w:marTop w:val="0"/>
                  <w:marBottom w:val="0"/>
                  <w:divBdr>
                    <w:top w:val="none" w:sz="0" w:space="0" w:color="auto"/>
                    <w:left w:val="none" w:sz="0" w:space="0" w:color="auto"/>
                    <w:bottom w:val="none" w:sz="0" w:space="0" w:color="auto"/>
                    <w:right w:val="none" w:sz="0" w:space="0" w:color="auto"/>
                  </w:divBdr>
                  <w:divsChild>
                    <w:div w:id="126368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13225">
          <w:marLeft w:val="0"/>
          <w:marRight w:val="0"/>
          <w:marTop w:val="0"/>
          <w:marBottom w:val="0"/>
          <w:divBdr>
            <w:top w:val="none" w:sz="0" w:space="0" w:color="auto"/>
            <w:left w:val="none" w:sz="0" w:space="0" w:color="auto"/>
            <w:bottom w:val="none" w:sz="0" w:space="0" w:color="auto"/>
            <w:right w:val="none" w:sz="0" w:space="0" w:color="auto"/>
          </w:divBdr>
          <w:divsChild>
            <w:div w:id="1058360794">
              <w:marLeft w:val="0"/>
              <w:marRight w:val="0"/>
              <w:marTop w:val="0"/>
              <w:marBottom w:val="0"/>
              <w:divBdr>
                <w:top w:val="none" w:sz="0" w:space="0" w:color="auto"/>
                <w:left w:val="none" w:sz="0" w:space="0" w:color="auto"/>
                <w:bottom w:val="none" w:sz="0" w:space="0" w:color="auto"/>
                <w:right w:val="none" w:sz="0" w:space="0" w:color="auto"/>
              </w:divBdr>
              <w:divsChild>
                <w:div w:id="18081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99512">
      <w:bodyDiv w:val="1"/>
      <w:marLeft w:val="0"/>
      <w:marRight w:val="0"/>
      <w:marTop w:val="0"/>
      <w:marBottom w:val="0"/>
      <w:divBdr>
        <w:top w:val="none" w:sz="0" w:space="0" w:color="auto"/>
        <w:left w:val="none" w:sz="0" w:space="0" w:color="auto"/>
        <w:bottom w:val="none" w:sz="0" w:space="0" w:color="auto"/>
        <w:right w:val="none" w:sz="0" w:space="0" w:color="auto"/>
      </w:divBdr>
      <w:divsChild>
        <w:div w:id="939919514">
          <w:marLeft w:val="0"/>
          <w:marRight w:val="0"/>
          <w:marTop w:val="0"/>
          <w:marBottom w:val="0"/>
          <w:divBdr>
            <w:top w:val="none" w:sz="0" w:space="0" w:color="auto"/>
            <w:left w:val="none" w:sz="0" w:space="0" w:color="auto"/>
            <w:bottom w:val="none" w:sz="0" w:space="0" w:color="auto"/>
            <w:right w:val="none" w:sz="0" w:space="0" w:color="auto"/>
          </w:divBdr>
          <w:divsChild>
            <w:div w:id="1014110228">
              <w:marLeft w:val="0"/>
              <w:marRight w:val="0"/>
              <w:marTop w:val="0"/>
              <w:marBottom w:val="0"/>
              <w:divBdr>
                <w:top w:val="none" w:sz="0" w:space="0" w:color="auto"/>
                <w:left w:val="none" w:sz="0" w:space="0" w:color="auto"/>
                <w:bottom w:val="none" w:sz="0" w:space="0" w:color="auto"/>
                <w:right w:val="none" w:sz="0" w:space="0" w:color="auto"/>
              </w:divBdr>
              <w:divsChild>
                <w:div w:id="36792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86115">
      <w:bodyDiv w:val="1"/>
      <w:marLeft w:val="0"/>
      <w:marRight w:val="0"/>
      <w:marTop w:val="0"/>
      <w:marBottom w:val="0"/>
      <w:divBdr>
        <w:top w:val="none" w:sz="0" w:space="0" w:color="auto"/>
        <w:left w:val="none" w:sz="0" w:space="0" w:color="auto"/>
        <w:bottom w:val="none" w:sz="0" w:space="0" w:color="auto"/>
        <w:right w:val="none" w:sz="0" w:space="0" w:color="auto"/>
      </w:divBdr>
      <w:divsChild>
        <w:div w:id="1164512422">
          <w:marLeft w:val="0"/>
          <w:marRight w:val="0"/>
          <w:marTop w:val="0"/>
          <w:marBottom w:val="0"/>
          <w:divBdr>
            <w:top w:val="none" w:sz="0" w:space="0" w:color="auto"/>
            <w:left w:val="none" w:sz="0" w:space="0" w:color="auto"/>
            <w:bottom w:val="none" w:sz="0" w:space="0" w:color="auto"/>
            <w:right w:val="none" w:sz="0" w:space="0" w:color="auto"/>
          </w:divBdr>
        </w:div>
        <w:div w:id="1091241098">
          <w:marLeft w:val="0"/>
          <w:marRight w:val="0"/>
          <w:marTop w:val="0"/>
          <w:marBottom w:val="0"/>
          <w:divBdr>
            <w:top w:val="none" w:sz="0" w:space="0" w:color="auto"/>
            <w:left w:val="none" w:sz="0" w:space="0" w:color="auto"/>
            <w:bottom w:val="none" w:sz="0" w:space="0" w:color="auto"/>
            <w:right w:val="none" w:sz="0" w:space="0" w:color="auto"/>
          </w:divBdr>
        </w:div>
        <w:div w:id="554319825">
          <w:marLeft w:val="0"/>
          <w:marRight w:val="0"/>
          <w:marTop w:val="0"/>
          <w:marBottom w:val="0"/>
          <w:divBdr>
            <w:top w:val="none" w:sz="0" w:space="0" w:color="auto"/>
            <w:left w:val="none" w:sz="0" w:space="0" w:color="auto"/>
            <w:bottom w:val="none" w:sz="0" w:space="0" w:color="auto"/>
            <w:right w:val="none" w:sz="0" w:space="0" w:color="auto"/>
          </w:divBdr>
        </w:div>
        <w:div w:id="1247494473">
          <w:marLeft w:val="0"/>
          <w:marRight w:val="0"/>
          <w:marTop w:val="0"/>
          <w:marBottom w:val="0"/>
          <w:divBdr>
            <w:top w:val="none" w:sz="0" w:space="0" w:color="auto"/>
            <w:left w:val="none" w:sz="0" w:space="0" w:color="auto"/>
            <w:bottom w:val="none" w:sz="0" w:space="0" w:color="auto"/>
            <w:right w:val="none" w:sz="0" w:space="0" w:color="auto"/>
          </w:divBdr>
        </w:div>
        <w:div w:id="569655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ilgi@meridyendeneti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2567</Words>
  <Characters>14636</Characters>
  <Application>Microsoft Office Word</Application>
  <DocSecurity>0</DocSecurity>
  <Lines>121</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17169</CharactersWithSpaces>
  <SharedDoc>false</SharedDoc>
  <HLinks>
    <vt:vector size="6" baseType="variant">
      <vt:variant>
        <vt:i4>393271</vt:i4>
      </vt:variant>
      <vt:variant>
        <vt:i4>0</vt:i4>
      </vt:variant>
      <vt:variant>
        <vt:i4>0</vt:i4>
      </vt:variant>
      <vt:variant>
        <vt:i4>5</vt:i4>
      </vt:variant>
      <vt:variant>
        <vt:lpwstr>mailto:bilgi@meridyendenetim.com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dc:creator>
  <cp:keywords/>
  <cp:lastModifiedBy>Semih OZ</cp:lastModifiedBy>
  <cp:revision>3</cp:revision>
  <cp:lastPrinted>2018-09-24T08:51:00Z</cp:lastPrinted>
  <dcterms:created xsi:type="dcterms:W3CDTF">2018-10-10T21:27:00Z</dcterms:created>
  <dcterms:modified xsi:type="dcterms:W3CDTF">2018-10-10T21:49:00Z</dcterms:modified>
</cp:coreProperties>
</file>